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left"/>
      </w:pPr>
      <w:r>
        <w:drawing>
          <wp:inline distT="0" distB="0" distL="0" distR="0">
            <wp:extent cx="609600" cy="609600"/>
            <wp:effectExtent t="0" r="0" b="0" l="0"/>
            <wp:docPr id="5" name="logo" descr="Institute for Human Evolution logo" title="I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 cy="609600"/>
                    </a:xfrm>
                    <a:prstGeom prst="rect">
                      <a:avLst/>
                    </a:prstGeom>
                  </pic:spPr>
                </pic:pic>
              </a:graphicData>
            </a:graphic>
          </wp:inline>
        </w:drawing>
      </w:r>
    </w:p>
    <w:p>
      <w:pPr>
        <w:spacing w:after="40"/>
      </w:pPr>
      <w:r>
        <w:rPr>
          <w:rFonts w:ascii="Arial" w:cs="Arial" w:eastAsia="Arial" w:hAnsi="Arial"/>
          <w:b/>
          <w:bCs/>
          <w:color w:val="1F3A5F"/>
          <w:spacing w:val="60"/>
          <w:sz w:val="22"/>
          <w:szCs w:val="22"/>
        </w:rPr>
        <w:t xml:space="preserve">INSTITUTE FOR HUMAN EVOLUTION</w:t>
      </w:r>
    </w:p>
    <w:p>
      <w:pPr>
        <w:pBdr>
          <w:bottom w:val="single" w:color="C8A875" w:sz="12" w:space="8"/>
        </w:pBdr>
        <w:spacing w:after="0"/>
      </w:pPr>
      <w:r>
        <w:rPr>
          <w:rFonts w:ascii="Arial" w:cs="Arial" w:eastAsia="Arial" w:hAnsi="Arial"/>
          <w:color w:val="8A6D3B"/>
          <w:spacing w:val="50"/>
          <w:sz w:val="17"/>
          <w:szCs w:val="17"/>
        </w:rPr>
        <w:t xml:space="preserve">IHE WHITEPAPER SERIES</w:t>
      </w:r>
    </w:p>
    <w:p>
      <w:pPr>
        <w:spacing w:after="120" w:before="1900"/>
      </w:pPr>
      <w:r>
        <w:rPr>
          <w:rFonts w:ascii="Arial" w:cs="Arial" w:eastAsia="Arial" w:hAnsi="Arial"/>
          <w:b/>
          <w:bCs/>
          <w:color w:val="8A6D3B"/>
          <w:spacing w:val="40"/>
          <w:sz w:val="20"/>
          <w:szCs w:val="20"/>
        </w:rPr>
        <w:t xml:space="preserve">IHE-WP-05</w:t>
      </w:r>
    </w:p>
    <w:p>
      <w:pPr>
        <w:spacing w:after="200" w:line="264"/>
      </w:pPr>
      <w:r>
        <w:rPr>
          <w:rFonts w:ascii="Times New Roman" w:cs="Times New Roman" w:eastAsia="Times New Roman" w:hAnsi="Times New Roman"/>
          <w:b/>
          <w:bCs/>
          <w:color w:val="1F3A5F"/>
          <w:sz w:val="56"/>
          <w:szCs w:val="56"/>
        </w:rPr>
        <w:t xml:space="preserve">Seductics: Toward a Probabilistic Framework for Romantic Outcomes</w:t>
      </w:r>
    </w:p>
    <w:p>
      <w:pPr>
        <w:spacing w:after="360" w:line="300"/>
      </w:pPr>
      <w:r>
        <w:rPr>
          <w:rFonts w:ascii="Times New Roman" w:cs="Times New Roman" w:eastAsia="Times New Roman" w:hAnsi="Times New Roman"/>
          <w:i/>
          <w:iCs/>
          <w:color w:val="5A5A55"/>
          <w:sz w:val="28"/>
          <w:szCs w:val="28"/>
        </w:rPr>
        <w:t xml:space="preserve">Assumptions, Model Classes, and Validation Requirements</w:t>
      </w:r>
    </w:p>
    <w:p>
      <w:pPr>
        <w:pBdr>
          <w:top w:val="single" w:color="D8D0BF" w:sz="6" w:space="12"/>
        </w:pBdr>
        <w:spacing w:after="240"/>
      </w:pPr>
    </w:p>
    <w:p>
      <w:pPr>
        <w:tabs>
          <w:tab w:val="left" w:pos="2600"/>
        </w:tabs>
        <w:spacing w:after="70"/>
      </w:pPr>
      <w:r>
        <w:rPr>
          <w:rFonts w:ascii="Arial" w:cs="Arial" w:eastAsia="Arial" w:hAnsi="Arial"/>
          <w:color w:val="5A5A55"/>
          <w:spacing w:val="30"/>
          <w:sz w:val="15"/>
          <w:szCs w:val="15"/>
        </w:rPr>
        <w:t xml:space="preserve">PUBLICATION NUMBER</w:t>
      </w:r>
      <w:r>
        <w:rPr>
          <w:rFonts w:ascii="Arial" w:cs="Arial" w:eastAsia="Arial" w:hAnsi="Arial"/>
        </w:rPr>
        <w:t xml:space="preserve">	</w:t>
      </w:r>
      <w:r>
        <w:rPr>
          <w:rFonts w:ascii="Times New Roman" w:cs="Times New Roman" w:eastAsia="Times New Roman" w:hAnsi="Times New Roman"/>
          <w:color w:val="1A1A1A"/>
          <w:sz w:val="22"/>
          <w:szCs w:val="22"/>
        </w:rPr>
        <w:t xml:space="preserve">IHE-WP-05</w:t>
      </w:r>
    </w:p>
    <w:p>
      <w:pPr>
        <w:tabs>
          <w:tab w:val="left" w:pos="2600"/>
        </w:tabs>
        <w:spacing w:after="70"/>
      </w:pPr>
      <w:r>
        <w:rPr>
          <w:rFonts w:ascii="Arial" w:cs="Arial" w:eastAsia="Arial" w:hAnsi="Arial"/>
          <w:color w:val="5A5A55"/>
          <w:spacing w:val="30"/>
          <w:sz w:val="15"/>
          <w:szCs w:val="15"/>
        </w:rPr>
        <w:t xml:space="preserve">SERIES</w:t>
      </w:r>
      <w:r>
        <w:rPr>
          <w:rFonts w:ascii="Arial" w:cs="Arial" w:eastAsia="Arial" w:hAnsi="Arial"/>
        </w:rPr>
        <w:t xml:space="preserve">	</w:t>
      </w:r>
      <w:r>
        <w:rPr>
          <w:rFonts w:ascii="Times New Roman" w:cs="Times New Roman" w:eastAsia="Times New Roman" w:hAnsi="Times New Roman"/>
          <w:color w:val="1A1A1A"/>
          <w:sz w:val="22"/>
          <w:szCs w:val="22"/>
        </w:rPr>
        <w:t xml:space="preserve">IHE Whitepaper Series</w:t>
      </w:r>
    </w:p>
    <w:p>
      <w:pPr>
        <w:tabs>
          <w:tab w:val="left" w:pos="2600"/>
        </w:tabs>
        <w:spacing w:after="70"/>
      </w:pPr>
      <w:r>
        <w:rPr>
          <w:rFonts w:ascii="Arial" w:cs="Arial" w:eastAsia="Arial" w:hAnsi="Arial"/>
          <w:color w:val="5A5A55"/>
          <w:spacing w:val="30"/>
          <w:sz w:val="15"/>
          <w:szCs w:val="15"/>
        </w:rPr>
        <w:t xml:space="preserve">VERSION</w:t>
      </w:r>
      <w:r>
        <w:rPr>
          <w:rFonts w:ascii="Arial" w:cs="Arial" w:eastAsia="Arial" w:hAnsi="Arial"/>
        </w:rPr>
        <w:t xml:space="preserve">	</w:t>
      </w:r>
      <w:r>
        <w:rPr>
          <w:rFonts w:ascii="Times New Roman" w:cs="Times New Roman" w:eastAsia="Times New Roman" w:hAnsi="Times New Roman"/>
          <w:color w:val="1A1A1A"/>
          <w:sz w:val="22"/>
          <w:szCs w:val="22"/>
        </w:rPr>
        <w:t xml:space="preserve">1.0 (October 2026)</w:t>
      </w:r>
    </w:p>
    <w:p>
      <w:pPr>
        <w:tabs>
          <w:tab w:val="left" w:pos="2600"/>
        </w:tabs>
        <w:spacing w:after="70"/>
      </w:pPr>
      <w:r>
        <w:rPr>
          <w:rFonts w:ascii="Arial" w:cs="Arial" w:eastAsia="Arial" w:hAnsi="Arial"/>
          <w:color w:val="5A5A55"/>
          <w:spacing w:val="30"/>
          <w:sz w:val="15"/>
          <w:szCs w:val="15"/>
        </w:rPr>
        <w:t xml:space="preserve">DOCUMENT TYPE</w:t>
      </w:r>
      <w:r>
        <w:rPr>
          <w:rFonts w:ascii="Arial" w:cs="Arial" w:eastAsia="Arial" w:hAnsi="Arial"/>
        </w:rPr>
        <w:t xml:space="preserve">	</w:t>
      </w:r>
      <w:r>
        <w:rPr>
          <w:rFonts w:ascii="Times New Roman" w:cs="Times New Roman" w:eastAsia="Times New Roman" w:hAnsi="Times New Roman"/>
          <w:color w:val="1A1A1A"/>
          <w:sz w:val="22"/>
          <w:szCs w:val="22"/>
        </w:rPr>
        <w:t xml:space="preserve">Whitepaper. Not peer reviewed.</w:t>
      </w:r>
    </w:p>
    <w:p>
      <w:pPr>
        <w:tabs>
          <w:tab w:val="left" w:pos="2600"/>
        </w:tabs>
        <w:spacing w:after="70"/>
      </w:pPr>
      <w:r>
        <w:rPr>
          <w:rFonts w:ascii="Arial" w:cs="Arial" w:eastAsia="Arial" w:hAnsi="Arial"/>
          <w:color w:val="5A5A55"/>
          <w:spacing w:val="30"/>
          <w:sz w:val="15"/>
          <w:szCs w:val="15"/>
        </w:rPr>
        <w:t xml:space="preserve">PUBLISHER</w:t>
      </w:r>
      <w:r>
        <w:rPr>
          <w:rFonts w:ascii="Arial" w:cs="Arial" w:eastAsia="Arial" w:hAnsi="Arial"/>
        </w:rPr>
        <w:t xml:space="preserve">	</w:t>
      </w:r>
      <w:r>
        <w:rPr>
          <w:rFonts w:ascii="Times New Roman" w:cs="Times New Roman" w:eastAsia="Times New Roman" w:hAnsi="Times New Roman"/>
          <w:color w:val="1A1A1A"/>
          <w:sz w:val="22"/>
          <w:szCs w:val="22"/>
        </w:rPr>
        <w:t xml:space="preserve">Institute for Human Evolution, Los Angeles, California</w:t>
      </w:r>
    </w:p>
    <w:p>
      <w:pPr>
        <w:spacing w:after="60" w:before="700"/>
      </w:pPr>
      <w:r>
        <w:rPr>
          <w:rFonts w:ascii="Arial" w:cs="Arial" w:eastAsia="Arial" w:hAnsi="Arial"/>
          <w:color w:val="5A5A55"/>
          <w:spacing w:val="30"/>
          <w:sz w:val="15"/>
          <w:szCs w:val="15"/>
        </w:rPr>
        <w:t xml:space="preserve">SUGGESTED CITATION</w:t>
      </w:r>
    </w:p>
    <w:p>
      <w:pPr>
        <w:spacing w:after="0" w:line="280"/>
        <w:ind w:left="360" w:hanging="360"/>
      </w:pPr>
      <w:r>
        <w:rPr>
          <w:rFonts w:ascii="Times New Roman" w:cs="Times New Roman" w:eastAsia="Times New Roman" w:hAnsi="Times New Roman"/>
          <w:sz w:val="21"/>
          <w:szCs w:val="21"/>
        </w:rPr>
        <w:t xml:space="preserve">Institute for Human Evolution. (2026). </w:t>
      </w:r>
      <w:r>
        <w:rPr>
          <w:rFonts w:ascii="Times New Roman" w:cs="Times New Roman" w:eastAsia="Times New Roman" w:hAnsi="Times New Roman"/>
          <w:i/>
          <w:iCs/>
          <w:sz w:val="21"/>
          <w:szCs w:val="21"/>
        </w:rPr>
        <w:t xml:space="preserve">Seductics: Toward a Probabilistic Framework for Romantic Outcomes: Assumptions, Model Classes, and Validation Requirements</w:t>
      </w:r>
      <w:r>
        <w:rPr>
          <w:rFonts w:ascii="Times New Roman" w:cs="Times New Roman" w:eastAsia="Times New Roman" w:hAnsi="Times New Roman"/>
          <w:sz w:val="21"/>
          <w:szCs w:val="21"/>
        </w:rPr>
        <w:t xml:space="preserve"> (IHE Whitepaper No. 5). Institute for Human Evolution. https://ihe.institute/research#whitepapers</w:t>
      </w:r>
    </w:p>
    <w:p>
      <w:pPr>
        <w:pStyle w:val="Heading1"/>
        <w:pageBreakBefore/>
        <w:spacing w:after="160" w:before="0"/>
      </w:pPr>
      <w:r>
        <w:rPr>
          <w:rFonts w:ascii="Times New Roman" w:cs="Times New Roman" w:eastAsia="Times New Roman" w:hAnsi="Times New Roman"/>
          <w:b/>
          <w:bCs/>
          <w:color w:val="1F3A5F"/>
          <w:sz w:val="30"/>
          <w:szCs w:val="30"/>
        </w:rPr>
        <w:t xml:space="preserve">Abstract</w:t>
      </w:r>
    </w:p>
    <w:p>
      <w:pPr>
        <w:spacing w:after="150" w:line="292"/>
        <w:jc w:val="both"/>
      </w:pPr>
      <w:r>
        <w:rPr>
          <w:rFonts w:ascii="Times New Roman" w:cs="Times New Roman" w:eastAsia="Times New Roman" w:hAnsi="Times New Roman"/>
          <w:i/>
          <w:iCs/>
          <w:sz w:val="23"/>
          <w:szCs w:val="23"/>
        </w:rPr>
        <w:t xml:space="preserve">Purpose.</w:t>
      </w:r>
      <w:r>
        <w:rPr>
          <w:rFonts w:ascii="Times New Roman" w:cs="Times New Roman" w:eastAsia="Times New Roman" w:hAnsi="Times New Roman"/>
          <w:sz w:val="23"/>
          <w:szCs w:val="23"/>
        </w:rPr>
        <w:t xml:space="preserve"> This paper sets out </w:t>
      </w:r>
      <w:r>
        <w:rPr>
          <w:rFonts w:ascii="Times New Roman" w:cs="Times New Roman" w:eastAsia="Times New Roman" w:hAnsi="Times New Roman"/>
          <w:i/>
          <w:iCs/>
          <w:sz w:val="23"/>
          <w:szCs w:val="23"/>
        </w:rPr>
        <w:t xml:space="preserve">Seductics</w:t>
      </w:r>
      <w:r>
        <w:rPr>
          <w:rFonts w:ascii="Times New Roman" w:cs="Times New Roman" w:eastAsia="Times New Roman" w:hAnsi="Times New Roman"/>
          <w:sz w:val="23"/>
          <w:szCs w:val="23"/>
        </w:rPr>
        <w:t xml:space="preserve">, the Institute's term for the probabilistic study of romantic outcomes, as a modeling framework whose assumptions can be tested rather than as a predictor. </w:t>
      </w:r>
      <w:r>
        <w:rPr>
          <w:rFonts w:ascii="Times New Roman" w:cs="Times New Roman" w:eastAsia="Times New Roman" w:hAnsi="Times New Roman"/>
          <w:i/>
          <w:iCs/>
          <w:sz w:val="23"/>
          <w:szCs w:val="23"/>
        </w:rPr>
        <w:t xml:space="preserve">Approach.</w:t>
      </w:r>
      <w:r>
        <w:rPr>
          <w:rFonts w:ascii="Times New Roman" w:cs="Times New Roman" w:eastAsia="Times New Roman" w:hAnsi="Times New Roman"/>
          <w:sz w:val="23"/>
          <w:szCs w:val="23"/>
        </w:rPr>
        <w:t xml:space="preserve"> The paper reviews prior formal models of romantic dynamics, the record of statistical prediction in psychology, and the empirical literature on predicting initial attraction, relationship quality and dissolution. It then analyzes a naive baseline that treats interactions as independent trials, along with composite scoring indices and discrete trajectory typologies, and sets out alternative model classes: discrete-time Markov chains with absorbing states, hidden Markov models, discrete-time hazard models, Beta-Binomial updating, and the social relations model for dyadic data. Worked examples, computed in code with illustrative (not empirical) parameters, show how uncertainty should be reported. </w:t>
      </w:r>
      <w:r>
        <w:rPr>
          <w:rFonts w:ascii="Times New Roman" w:cs="Times New Roman" w:eastAsia="Times New Roman" w:hAnsi="Times New Roman"/>
          <w:i/>
          <w:iCs/>
          <w:sz w:val="23"/>
          <w:szCs w:val="23"/>
        </w:rPr>
        <w:t xml:space="preserve">Position.</w:t>
      </w:r>
      <w:r>
        <w:rPr>
          <w:rFonts w:ascii="Times New Roman" w:cs="Times New Roman" w:eastAsia="Times New Roman" w:hAnsi="Times New Roman"/>
          <w:sz w:val="23"/>
          <w:szCs w:val="23"/>
        </w:rPr>
        <w:t xml:space="preserve"> The baseline P = 1 − (1 − p)</w:t>
      </w:r>
      <w:r>
        <w:rPr>
          <w:rFonts w:ascii="Times New Roman" w:cs="Times New Roman" w:eastAsia="Times New Roman" w:hAnsi="Times New Roman"/>
          <w:sz w:val="23"/>
          <w:szCs w:val="23"/>
          <w:vertAlign w:val="superscript"/>
        </w:rPr>
        <w:t xml:space="preserve">n</w:t>
      </w:r>
      <w:r>
        <w:rPr>
          <w:rFonts w:ascii="Times New Roman" w:cs="Times New Roman" w:eastAsia="Times New Roman" w:hAnsi="Times New Roman"/>
          <w:sz w:val="23"/>
          <w:szCs w:val="23"/>
        </w:rPr>
        <w:t xml:space="preserve"> assumes independent, identically distributed trials and fails for repeated interaction within a dyad; with heterogeneous or declining per-interaction probabilities it overstates cumulative probability, in one example by roughly a factor of two. Published evidence indicates that relationship-specific initial desire is difficult to predict before two people meet, and that change in relationship quality is largely unpredictable from self-report. </w:t>
      </w:r>
      <w:r>
        <w:rPr>
          <w:rFonts w:ascii="Times New Roman" w:cs="Times New Roman" w:eastAsia="Times New Roman" w:hAnsi="Times New Roman"/>
          <w:i/>
          <w:iCs/>
          <w:sz w:val="23"/>
          <w:szCs w:val="23"/>
        </w:rPr>
        <w:t xml:space="preserve">Limits.</w:t>
      </w:r>
      <w:r>
        <w:rPr>
          <w:rFonts w:ascii="Times New Roman" w:cs="Times New Roman" w:eastAsia="Times New Roman" w:hAnsi="Times New Roman"/>
          <w:sz w:val="23"/>
          <w:szCs w:val="23"/>
        </w:rPr>
        <w:t xml:space="preserve"> The framework is suited to population-level description, simulation, power analysis and study design. IHE offers no individual-level predictions and no consumer tool. The paper closes with a staged validation roadmap that specifies the results under which the framework, or parts of it, should be abandoned.</w:t>
      </w:r>
    </w:p>
    <w:p>
      <w:pPr>
        <w:spacing w:after="280" w:before="120"/>
      </w:pPr>
      <w:r>
        <w:rPr>
          <w:rFonts w:ascii="Times New Roman" w:cs="Times New Roman" w:eastAsia="Times New Roman" w:hAnsi="Times New Roman"/>
          <w:b/>
          <w:bCs/>
          <w:sz w:val="23"/>
          <w:szCs w:val="23"/>
        </w:rPr>
        <w:t xml:space="preserve">Keywords: </w:t>
      </w:r>
      <w:r>
        <w:rPr>
          <w:rFonts w:ascii="Times New Roman" w:cs="Times New Roman" w:eastAsia="Times New Roman" w:hAnsi="Times New Roman"/>
          <w:i/>
          <w:iCs/>
          <w:sz w:val="23"/>
          <w:szCs w:val="23"/>
        </w:rPr>
        <w:t xml:space="preserve">probabilistic modeling; romantic attraction; relationship dissolution; Markov chains; survival analysis; Bayesian inference; social relations model; prediction; validation</w:t>
      </w:r>
    </w:p>
    <w:p>
      <w:pPr>
        <w:pBdr>
          <w:top w:val="single" w:color="D8D0BF" w:sz="6" w:space="10"/>
        </w:pBdr>
        <w:spacing w:after="100" w:before="120"/>
      </w:pPr>
      <w:r>
        <w:rPr>
          <w:rFonts w:ascii="Arial" w:cs="Arial" w:eastAsia="Arial" w:hAnsi="Arial"/>
          <w:b/>
          <w:bCs/>
          <w:color w:val="8A6D3B"/>
          <w:spacing w:val="40"/>
          <w:sz w:val="16"/>
          <w:szCs w:val="16"/>
        </w:rPr>
        <w:t xml:space="preserve">CONTENTS</w:t>
      </w:r>
    </w:p>
    <w:p>
      <w:pPr>
        <w:spacing w:after="40"/>
        <w:ind w:left="0"/>
      </w:pPr>
      <w:r>
        <w:rPr>
          <w:rFonts w:ascii="Times New Roman" w:cs="Times New Roman" w:eastAsia="Times New Roman" w:hAnsi="Times New Roman"/>
          <w:b/>
          <w:bCs/>
          <w:color w:val="1F3A5F"/>
          <w:sz w:val="20"/>
          <w:szCs w:val="20"/>
        </w:rPr>
        <w:t xml:space="preserve">1. Introduction</w:t>
      </w:r>
    </w:p>
    <w:p>
      <w:pPr>
        <w:spacing w:after="40"/>
        <w:ind w:left="400"/>
      </w:pPr>
      <w:r>
        <w:rPr>
          <w:rFonts w:ascii="Times New Roman" w:cs="Times New Roman" w:eastAsia="Times New Roman" w:hAnsi="Times New Roman"/>
          <w:b w:val="false"/>
          <w:bCs w:val="false"/>
          <w:color w:val="5A5A55"/>
          <w:sz w:val="18"/>
          <w:szCs w:val="18"/>
        </w:rPr>
        <w:t xml:space="preserve">1.1 Purpose and scope</w:t>
      </w:r>
    </w:p>
    <w:p>
      <w:pPr>
        <w:spacing w:after="40"/>
        <w:ind w:left="400"/>
      </w:pPr>
      <w:r>
        <w:rPr>
          <w:rFonts w:ascii="Times New Roman" w:cs="Times New Roman" w:eastAsia="Times New Roman" w:hAnsi="Times New Roman"/>
          <w:b w:val="false"/>
          <w:bCs w:val="false"/>
          <w:color w:val="5A5A55"/>
          <w:sz w:val="18"/>
          <w:szCs w:val="18"/>
        </w:rPr>
        <w:t xml:space="preserve">1.2 Definitions</w:t>
      </w:r>
    </w:p>
    <w:p>
      <w:pPr>
        <w:spacing w:after="40"/>
        <w:ind w:left="0"/>
      </w:pPr>
      <w:r>
        <w:rPr>
          <w:rFonts w:ascii="Times New Roman" w:cs="Times New Roman" w:eastAsia="Times New Roman" w:hAnsi="Times New Roman"/>
          <w:b/>
          <w:bCs/>
          <w:color w:val="1F3A5F"/>
          <w:sz w:val="20"/>
          <w:szCs w:val="20"/>
        </w:rPr>
        <w:t xml:space="preserve">2. Prior formal work and the predictive record</w:t>
      </w:r>
    </w:p>
    <w:p>
      <w:pPr>
        <w:spacing w:after="40"/>
        <w:ind w:left="400"/>
      </w:pPr>
      <w:r>
        <w:rPr>
          <w:rFonts w:ascii="Times New Roman" w:cs="Times New Roman" w:eastAsia="Times New Roman" w:hAnsi="Times New Roman"/>
          <w:b w:val="false"/>
          <w:bCs w:val="false"/>
          <w:color w:val="5A5A55"/>
          <w:sz w:val="18"/>
          <w:szCs w:val="18"/>
        </w:rPr>
        <w:t xml:space="preserve">2.1 Formal models of romantic dynamics already exist</w:t>
      </w:r>
    </w:p>
    <w:p>
      <w:pPr>
        <w:spacing w:after="40"/>
        <w:ind w:left="400"/>
      </w:pPr>
      <w:r>
        <w:rPr>
          <w:rFonts w:ascii="Times New Roman" w:cs="Times New Roman" w:eastAsia="Times New Roman" w:hAnsi="Times New Roman"/>
          <w:b w:val="false"/>
          <w:bCs w:val="false"/>
          <w:color w:val="5A5A55"/>
          <w:sz w:val="18"/>
          <w:szCs w:val="18"/>
        </w:rPr>
        <w:t xml:space="preserve">2.2 Statistical versus intuitive prediction</w:t>
      </w:r>
    </w:p>
    <w:p>
      <w:pPr>
        <w:spacing w:after="40"/>
        <w:ind w:left="400"/>
      </w:pPr>
      <w:r>
        <w:rPr>
          <w:rFonts w:ascii="Times New Roman" w:cs="Times New Roman" w:eastAsia="Times New Roman" w:hAnsi="Times New Roman"/>
          <w:b w:val="false"/>
          <w:bCs w:val="false"/>
          <w:color w:val="5A5A55"/>
          <w:sz w:val="18"/>
          <w:szCs w:val="18"/>
        </w:rPr>
        <w:t xml:space="preserve">2.3 What predicts initial attraction</w:t>
      </w:r>
    </w:p>
    <w:p>
      <w:pPr>
        <w:spacing w:after="40"/>
        <w:ind w:left="400"/>
      </w:pPr>
      <w:r>
        <w:rPr>
          <w:rFonts w:ascii="Times New Roman" w:cs="Times New Roman" w:eastAsia="Times New Roman" w:hAnsi="Times New Roman"/>
          <w:b w:val="false"/>
          <w:bCs w:val="false"/>
          <w:color w:val="5A5A55"/>
          <w:sz w:val="18"/>
          <w:szCs w:val="18"/>
        </w:rPr>
        <w:t xml:space="preserve">2.4 What predicts relationship quality and dissolution</w:t>
      </w:r>
    </w:p>
    <w:p>
      <w:pPr>
        <w:spacing w:after="40"/>
        <w:ind w:left="400"/>
      </w:pPr>
      <w:r>
        <w:rPr>
          <w:rFonts w:ascii="Times New Roman" w:cs="Times New Roman" w:eastAsia="Times New Roman" w:hAnsi="Times New Roman"/>
          <w:b w:val="false"/>
          <w:bCs w:val="false"/>
          <w:color w:val="5A5A55"/>
          <w:sz w:val="18"/>
          <w:szCs w:val="18"/>
        </w:rPr>
        <w:t xml:space="preserve">2.5 Divorce prediction and the problem of cross-validation</w:t>
      </w:r>
    </w:p>
    <w:p>
      <w:pPr>
        <w:spacing w:after="40"/>
        <w:ind w:left="400"/>
      </w:pPr>
      <w:r>
        <w:rPr>
          <w:rFonts w:ascii="Times New Roman" w:cs="Times New Roman" w:eastAsia="Times New Roman" w:hAnsi="Times New Roman"/>
          <w:b w:val="false"/>
          <w:bCs w:val="false"/>
          <w:color w:val="5A5A55"/>
          <w:sz w:val="18"/>
          <w:szCs w:val="18"/>
        </w:rPr>
        <w:t xml:space="preserve">2.6 The general limits of predicting life outcomes</w:t>
      </w:r>
    </w:p>
    <w:p>
      <w:pPr>
        <w:spacing w:after="40"/>
        <w:ind w:left="0"/>
      </w:pPr>
      <w:r>
        <w:rPr>
          <w:rFonts w:ascii="Times New Roman" w:cs="Times New Roman" w:eastAsia="Times New Roman" w:hAnsi="Times New Roman"/>
          <w:b/>
          <w:bCs/>
          <w:color w:val="1F3A5F"/>
          <w:sz w:val="20"/>
          <w:szCs w:val="20"/>
        </w:rPr>
        <w:t xml:space="preserve">3. A naive baseline: interactions as independent trials</w:t>
      </w:r>
    </w:p>
    <w:p>
      <w:pPr>
        <w:spacing w:after="40"/>
        <w:ind w:left="400"/>
      </w:pPr>
      <w:r>
        <w:rPr>
          <w:rFonts w:ascii="Times New Roman" w:cs="Times New Roman" w:eastAsia="Times New Roman" w:hAnsi="Times New Roman"/>
          <w:b w:val="false"/>
          <w:bCs w:val="false"/>
          <w:color w:val="5A5A55"/>
          <w:sz w:val="18"/>
          <w:szCs w:val="18"/>
        </w:rPr>
        <w:t xml:space="preserve">3.1 What the baseline computes</w:t>
      </w:r>
    </w:p>
    <w:p>
      <w:pPr>
        <w:spacing w:after="40"/>
        <w:ind w:left="400"/>
      </w:pPr>
      <w:r>
        <w:rPr>
          <w:rFonts w:ascii="Times New Roman" w:cs="Times New Roman" w:eastAsia="Times New Roman" w:hAnsi="Times New Roman"/>
          <w:b w:val="false"/>
          <w:bCs w:val="false"/>
          <w:color w:val="5A5A55"/>
          <w:sz w:val="18"/>
          <w:szCs w:val="18"/>
        </w:rPr>
        <w:t xml:space="preserve">3.2 Assumption 1: a well-defined event</w:t>
      </w:r>
    </w:p>
    <w:p>
      <w:pPr>
        <w:spacing w:after="40"/>
        <w:ind w:left="400"/>
      </w:pPr>
      <w:r>
        <w:rPr>
          <w:rFonts w:ascii="Times New Roman" w:cs="Times New Roman" w:eastAsia="Times New Roman" w:hAnsi="Times New Roman"/>
          <w:b w:val="false"/>
          <w:bCs w:val="false"/>
          <w:color w:val="5A5A55"/>
          <w:sz w:val="18"/>
          <w:szCs w:val="18"/>
        </w:rPr>
        <w:t xml:space="preserve">3.3 Assumption 2: independence and identical distribution</w:t>
      </w:r>
    </w:p>
    <w:p>
      <w:pPr>
        <w:spacing w:after="40"/>
        <w:ind w:left="400"/>
      </w:pPr>
      <w:r>
        <w:rPr>
          <w:rFonts w:ascii="Times New Roman" w:cs="Times New Roman" w:eastAsia="Times New Roman" w:hAnsi="Times New Roman"/>
          <w:b w:val="false"/>
          <w:bCs w:val="false"/>
          <w:color w:val="5A5A55"/>
          <w:sz w:val="18"/>
          <w:szCs w:val="18"/>
        </w:rPr>
        <w:t xml:space="preserve">3.4 Worked example: heterogeneity and decay</w:t>
      </w:r>
    </w:p>
    <w:p>
      <w:pPr>
        <w:spacing w:after="40"/>
        <w:ind w:left="400"/>
      </w:pPr>
      <w:r>
        <w:rPr>
          <w:rFonts w:ascii="Times New Roman" w:cs="Times New Roman" w:eastAsia="Times New Roman" w:hAnsi="Times New Roman"/>
          <w:b w:val="false"/>
          <w:bCs w:val="false"/>
          <w:color w:val="5A5A55"/>
          <w:sz w:val="18"/>
          <w:szCs w:val="18"/>
        </w:rPr>
        <w:t xml:space="preserve">3.5 Repetition, contact and timing</w:t>
      </w:r>
    </w:p>
    <w:p>
      <w:pPr>
        <w:spacing w:after="40"/>
        <w:ind w:left="0"/>
      </w:pPr>
      <w:r>
        <w:rPr>
          <w:rFonts w:ascii="Times New Roman" w:cs="Times New Roman" w:eastAsia="Times New Roman" w:hAnsi="Times New Roman"/>
          <w:b/>
          <w:bCs/>
          <w:color w:val="1F3A5F"/>
          <w:sz w:val="20"/>
          <w:szCs w:val="20"/>
        </w:rPr>
        <w:t xml:space="preserve">4. Composite indices and trajectory typologies</w:t>
      </w:r>
    </w:p>
    <w:p>
      <w:pPr>
        <w:spacing w:after="40"/>
        <w:ind w:left="400"/>
      </w:pPr>
      <w:r>
        <w:rPr>
          <w:rFonts w:ascii="Times New Roman" w:cs="Times New Roman" w:eastAsia="Times New Roman" w:hAnsi="Times New Roman"/>
          <w:b w:val="false"/>
          <w:bCs w:val="false"/>
          <w:color w:val="5A5A55"/>
          <w:sz w:val="18"/>
          <w:szCs w:val="18"/>
        </w:rPr>
        <w:t xml:space="preserve">4.1 Composite indices as measurement problems</w:t>
      </w:r>
    </w:p>
    <w:p>
      <w:pPr>
        <w:spacing w:after="40"/>
        <w:ind w:left="400"/>
      </w:pPr>
      <w:r>
        <w:rPr>
          <w:rFonts w:ascii="Times New Roman" w:cs="Times New Roman" w:eastAsia="Times New Roman" w:hAnsi="Times New Roman"/>
          <w:b w:val="false"/>
          <w:bCs w:val="false"/>
          <w:color w:val="5A5A55"/>
          <w:sz w:val="18"/>
          <w:szCs w:val="18"/>
        </w:rPr>
        <w:t xml:space="preserve">4.2 Attachment</w:t>
      </w:r>
    </w:p>
    <w:p>
      <w:pPr>
        <w:spacing w:after="40"/>
        <w:ind w:left="400"/>
      </w:pPr>
      <w:r>
        <w:rPr>
          <w:rFonts w:ascii="Times New Roman" w:cs="Times New Roman" w:eastAsia="Times New Roman" w:hAnsi="Times New Roman"/>
          <w:b w:val="false"/>
          <w:bCs w:val="false"/>
          <w:color w:val="5A5A55"/>
          <w:sz w:val="18"/>
          <w:szCs w:val="18"/>
        </w:rPr>
        <w:t xml:space="preserve">4.3 Named trajectory curves</w:t>
      </w:r>
    </w:p>
    <w:p>
      <w:pPr>
        <w:spacing w:after="40"/>
        <w:ind w:left="0"/>
      </w:pPr>
      <w:r>
        <w:rPr>
          <w:rFonts w:ascii="Times New Roman" w:cs="Times New Roman" w:eastAsia="Times New Roman" w:hAnsi="Times New Roman"/>
          <w:b/>
          <w:bCs/>
          <w:color w:val="1F3A5F"/>
          <w:sz w:val="20"/>
          <w:szCs w:val="20"/>
        </w:rPr>
        <w:t xml:space="preserve">5. Candidate model classes</w:t>
      </w:r>
    </w:p>
    <w:p>
      <w:pPr>
        <w:spacing w:after="40"/>
        <w:ind w:left="400"/>
      </w:pPr>
      <w:r>
        <w:rPr>
          <w:rFonts w:ascii="Times New Roman" w:cs="Times New Roman" w:eastAsia="Times New Roman" w:hAnsi="Times New Roman"/>
          <w:b w:val="false"/>
          <w:bCs w:val="false"/>
          <w:color w:val="5A5A55"/>
          <w:sz w:val="18"/>
          <w:szCs w:val="18"/>
        </w:rPr>
        <w:t xml:space="preserve">5.1 Discrete-time Markov chains with absorbing states</w:t>
      </w:r>
    </w:p>
    <w:p>
      <w:pPr>
        <w:spacing w:after="40"/>
        <w:ind w:left="400"/>
      </w:pPr>
      <w:r>
        <w:rPr>
          <w:rFonts w:ascii="Times New Roman" w:cs="Times New Roman" w:eastAsia="Times New Roman" w:hAnsi="Times New Roman"/>
          <w:b w:val="false"/>
          <w:bCs w:val="false"/>
          <w:color w:val="5A5A55"/>
          <w:sz w:val="18"/>
          <w:szCs w:val="18"/>
        </w:rPr>
        <w:t xml:space="preserve">5.2 Hidden Markov models for latent interest</w:t>
      </w:r>
    </w:p>
    <w:p>
      <w:pPr>
        <w:spacing w:after="40"/>
        <w:ind w:left="400"/>
      </w:pPr>
      <w:r>
        <w:rPr>
          <w:rFonts w:ascii="Times New Roman" w:cs="Times New Roman" w:eastAsia="Times New Roman" w:hAnsi="Times New Roman"/>
          <w:b w:val="false"/>
          <w:bCs w:val="false"/>
          <w:color w:val="5A5A55"/>
          <w:sz w:val="18"/>
          <w:szCs w:val="18"/>
        </w:rPr>
        <w:t xml:space="preserve">5.3 Hazard and survival models for time to dissolution</w:t>
      </w:r>
    </w:p>
    <w:p>
      <w:pPr>
        <w:spacing w:after="40"/>
        <w:ind w:left="400"/>
      </w:pPr>
      <w:r>
        <w:rPr>
          <w:rFonts w:ascii="Times New Roman" w:cs="Times New Roman" w:eastAsia="Times New Roman" w:hAnsi="Times New Roman"/>
          <w:b w:val="false"/>
          <w:bCs w:val="false"/>
          <w:color w:val="5A5A55"/>
          <w:sz w:val="18"/>
          <w:szCs w:val="18"/>
        </w:rPr>
        <w:t xml:space="preserve">5.4 Bayesian updating with explicit priors</w:t>
      </w:r>
    </w:p>
    <w:p>
      <w:pPr>
        <w:spacing w:after="40"/>
        <w:ind w:left="400"/>
      </w:pPr>
      <w:r>
        <w:rPr>
          <w:rFonts w:ascii="Times New Roman" w:cs="Times New Roman" w:eastAsia="Times New Roman" w:hAnsi="Times New Roman"/>
          <w:b w:val="false"/>
          <w:bCs w:val="false"/>
          <w:color w:val="5A5A55"/>
          <w:sz w:val="18"/>
          <w:szCs w:val="18"/>
        </w:rPr>
        <w:t xml:space="preserve">5.5 Dyadic and multilevel structure: the social relations model</w:t>
      </w:r>
    </w:p>
    <w:p>
      <w:pPr>
        <w:spacing w:after="40"/>
        <w:ind w:left="400"/>
      </w:pPr>
      <w:r>
        <w:rPr>
          <w:rFonts w:ascii="Times New Roman" w:cs="Times New Roman" w:eastAsia="Times New Roman" w:hAnsi="Times New Roman"/>
          <w:b w:val="false"/>
          <w:bCs w:val="false"/>
          <w:color w:val="5A5A55"/>
          <w:sz w:val="18"/>
          <w:szCs w:val="18"/>
        </w:rPr>
        <w:t xml:space="preserve">5.6 Dynamical systems and summary</w:t>
      </w:r>
    </w:p>
    <w:p>
      <w:pPr>
        <w:spacing w:after="40"/>
        <w:ind w:left="0"/>
      </w:pPr>
      <w:r>
        <w:rPr>
          <w:rFonts w:ascii="Times New Roman" w:cs="Times New Roman" w:eastAsia="Times New Roman" w:hAnsi="Times New Roman"/>
          <w:b/>
          <w:bCs/>
          <w:color w:val="1F3A5F"/>
          <w:sz w:val="20"/>
          <w:szCs w:val="20"/>
        </w:rPr>
        <w:t xml:space="preserve">6. Validation requirements</w:t>
      </w:r>
    </w:p>
    <w:p>
      <w:pPr>
        <w:spacing w:after="40"/>
        <w:ind w:left="400"/>
      </w:pPr>
      <w:r>
        <w:rPr>
          <w:rFonts w:ascii="Times New Roman" w:cs="Times New Roman" w:eastAsia="Times New Roman" w:hAnsi="Times New Roman"/>
          <w:b w:val="false"/>
          <w:bCs w:val="false"/>
          <w:color w:val="5A5A55"/>
          <w:sz w:val="18"/>
          <w:szCs w:val="18"/>
        </w:rPr>
        <w:t xml:space="preserve">6.1 Identifiability</w:t>
      </w:r>
    </w:p>
    <w:p>
      <w:pPr>
        <w:spacing w:after="40"/>
        <w:ind w:left="400"/>
      </w:pPr>
      <w:r>
        <w:rPr>
          <w:rFonts w:ascii="Times New Roman" w:cs="Times New Roman" w:eastAsia="Times New Roman" w:hAnsi="Times New Roman"/>
          <w:b w:val="false"/>
          <w:bCs w:val="false"/>
          <w:color w:val="5A5A55"/>
          <w:sz w:val="18"/>
          <w:szCs w:val="18"/>
        </w:rPr>
        <w:t xml:space="preserve">6.2 Measurement validity</w:t>
      </w:r>
    </w:p>
    <w:p>
      <w:pPr>
        <w:spacing w:after="40"/>
        <w:ind w:left="400"/>
      </w:pPr>
      <w:r>
        <w:rPr>
          <w:rFonts w:ascii="Times New Roman" w:cs="Times New Roman" w:eastAsia="Times New Roman" w:hAnsi="Times New Roman"/>
          <w:b w:val="false"/>
          <w:bCs w:val="false"/>
          <w:color w:val="5A5A55"/>
          <w:sz w:val="18"/>
          <w:szCs w:val="18"/>
        </w:rPr>
        <w:t xml:space="preserve">6.3 Discrimination, calibration and proper scoring</w:t>
      </w:r>
    </w:p>
    <w:p>
      <w:pPr>
        <w:spacing w:after="40"/>
        <w:ind w:left="400"/>
      </w:pPr>
      <w:r>
        <w:rPr>
          <w:rFonts w:ascii="Times New Roman" w:cs="Times New Roman" w:eastAsia="Times New Roman" w:hAnsi="Times New Roman"/>
          <w:b w:val="false"/>
          <w:bCs w:val="false"/>
          <w:color w:val="5A5A55"/>
          <w:sz w:val="18"/>
          <w:szCs w:val="18"/>
        </w:rPr>
        <w:t xml:space="preserve">6.4 Out-of-sample validation and overfitting</w:t>
      </w:r>
    </w:p>
    <w:p>
      <w:pPr>
        <w:spacing w:after="40"/>
        <w:ind w:left="400"/>
      </w:pPr>
      <w:r>
        <w:rPr>
          <w:rFonts w:ascii="Times New Roman" w:cs="Times New Roman" w:eastAsia="Times New Roman" w:hAnsi="Times New Roman"/>
          <w:b w:val="false"/>
          <w:bCs w:val="false"/>
          <w:color w:val="5A5A55"/>
          <w:sz w:val="18"/>
          <w:szCs w:val="18"/>
        </w:rPr>
        <w:t xml:space="preserve">6.5 Base rates</w:t>
      </w:r>
    </w:p>
    <w:p>
      <w:pPr>
        <w:spacing w:after="40"/>
        <w:ind w:left="400"/>
      </w:pPr>
      <w:r>
        <w:rPr>
          <w:rFonts w:ascii="Times New Roman" w:cs="Times New Roman" w:eastAsia="Times New Roman" w:hAnsi="Times New Roman"/>
          <w:b w:val="false"/>
          <w:bCs w:val="false"/>
          <w:color w:val="5A5A55"/>
          <w:sz w:val="18"/>
          <w:szCs w:val="18"/>
        </w:rPr>
        <w:t xml:space="preserve">6.6 Pre-registration, transparency and reporting</w:t>
      </w:r>
    </w:p>
    <w:p>
      <w:pPr>
        <w:spacing w:after="40"/>
        <w:ind w:left="400"/>
      </w:pPr>
      <w:r>
        <w:rPr>
          <w:rFonts w:ascii="Times New Roman" w:cs="Times New Roman" w:eastAsia="Times New Roman" w:hAnsi="Times New Roman"/>
          <w:b w:val="false"/>
          <w:bCs w:val="false"/>
          <w:color w:val="5A5A55"/>
          <w:sz w:val="18"/>
          <w:szCs w:val="18"/>
        </w:rPr>
        <w:t xml:space="preserve">6.7 Fairness and generalizability across groups</w:t>
      </w:r>
    </w:p>
    <w:p>
      <w:pPr>
        <w:spacing w:after="40"/>
        <w:ind w:left="400"/>
      </w:pPr>
      <w:r>
        <w:rPr>
          <w:rFonts w:ascii="Times New Roman" w:cs="Times New Roman" w:eastAsia="Times New Roman" w:hAnsi="Times New Roman"/>
          <w:b w:val="false"/>
          <w:bCs w:val="false"/>
          <w:color w:val="5A5A55"/>
          <w:sz w:val="18"/>
          <w:szCs w:val="18"/>
        </w:rPr>
        <w:t xml:space="preserve">6.8 Reactivity and Goodhart's law</w:t>
      </w:r>
    </w:p>
    <w:p>
      <w:pPr>
        <w:spacing w:after="40"/>
        <w:ind w:left="0"/>
      </w:pPr>
      <w:r>
        <w:rPr>
          <w:rFonts w:ascii="Times New Roman" w:cs="Times New Roman" w:eastAsia="Times New Roman" w:hAnsi="Times New Roman"/>
          <w:b/>
          <w:bCs/>
          <w:color w:val="1F3A5F"/>
          <w:sz w:val="20"/>
          <w:szCs w:val="20"/>
        </w:rPr>
        <w:t xml:space="preserve">7. Evidence at a glance</w:t>
      </w:r>
    </w:p>
    <w:p>
      <w:pPr>
        <w:spacing w:after="40"/>
        <w:ind w:left="0"/>
      </w:pPr>
      <w:r>
        <w:rPr>
          <w:rFonts w:ascii="Times New Roman" w:cs="Times New Roman" w:eastAsia="Times New Roman" w:hAnsi="Times New Roman"/>
          <w:b/>
          <w:bCs/>
          <w:color w:val="1F3A5F"/>
          <w:sz w:val="20"/>
          <w:szCs w:val="20"/>
        </w:rPr>
        <w:t xml:space="preserve">8. A staged validation roadmap</w:t>
      </w:r>
    </w:p>
    <w:p>
      <w:pPr>
        <w:spacing w:after="40"/>
        <w:ind w:left="0"/>
      </w:pPr>
      <w:r>
        <w:rPr>
          <w:rFonts w:ascii="Times New Roman" w:cs="Times New Roman" w:eastAsia="Times New Roman" w:hAnsi="Times New Roman"/>
          <w:b/>
          <w:bCs/>
          <w:color w:val="1F3A5F"/>
          <w:sz w:val="20"/>
          <w:szCs w:val="20"/>
        </w:rPr>
        <w:t xml:space="preserve">9. Research uses</w:t>
      </w:r>
    </w:p>
    <w:p>
      <w:pPr>
        <w:spacing w:after="40"/>
        <w:ind w:left="0"/>
      </w:pPr>
      <w:r>
        <w:rPr>
          <w:rFonts w:ascii="Times New Roman" w:cs="Times New Roman" w:eastAsia="Times New Roman" w:hAnsi="Times New Roman"/>
          <w:b/>
          <w:bCs/>
          <w:color w:val="1F3A5F"/>
          <w:sz w:val="20"/>
          <w:szCs w:val="20"/>
        </w:rPr>
        <w:t xml:space="preserve">10. Ethical considerations</w:t>
      </w:r>
    </w:p>
    <w:p>
      <w:pPr>
        <w:spacing w:after="40"/>
        <w:ind w:left="0"/>
      </w:pPr>
      <w:r>
        <w:rPr>
          <w:rFonts w:ascii="Times New Roman" w:cs="Times New Roman" w:eastAsia="Times New Roman" w:hAnsi="Times New Roman"/>
          <w:b/>
          <w:bCs/>
          <w:color w:val="1F3A5F"/>
          <w:sz w:val="20"/>
          <w:szCs w:val="20"/>
        </w:rPr>
        <w:t xml:space="preserve">11. Limitations and open questions</w:t>
      </w:r>
    </w:p>
    <w:p>
      <w:pPr>
        <w:spacing w:after="40"/>
        <w:ind w:left="0"/>
      </w:pPr>
      <w:r>
        <w:rPr>
          <w:rFonts w:ascii="Times New Roman" w:cs="Times New Roman" w:eastAsia="Times New Roman" w:hAnsi="Times New Roman"/>
          <w:b/>
          <w:bCs/>
          <w:color w:val="1F3A5F"/>
          <w:sz w:val="20"/>
          <w:szCs w:val="20"/>
        </w:rPr>
        <w:t xml:space="preserve">12. Research agenda</w:t>
      </w:r>
    </w:p>
    <w:p>
      <w:pPr>
        <w:spacing w:after="40"/>
        <w:ind w:left="0"/>
      </w:pPr>
      <w:r>
        <w:rPr>
          <w:rFonts w:ascii="Times New Roman" w:cs="Times New Roman" w:eastAsia="Times New Roman" w:hAnsi="Times New Roman"/>
          <w:b/>
          <w:bCs/>
          <w:color w:val="1F3A5F"/>
          <w:sz w:val="20"/>
          <w:szCs w:val="20"/>
        </w:rPr>
        <w:t xml:space="preserve">13. Conclusion</w:t>
      </w:r>
    </w:p>
    <w:p>
      <w:pPr>
        <w:spacing w:after="40"/>
      </w:pPr>
      <w:r>
        <w:rPr>
          <w:rFonts w:ascii="Times New Roman" w:cs="Times New Roman" w:eastAsia="Times New Roman" w:hAnsi="Times New Roman"/>
          <w:b/>
          <w:bCs/>
          <w:color w:val="1F3A5F"/>
          <w:sz w:val="20"/>
          <w:szCs w:val="20"/>
        </w:rPr>
        <w:t xml:space="preserve">References</w:t>
      </w:r>
    </w:p>
    <w:p>
      <w:pPr>
        <w:pStyle w:val="Heading1"/>
        <w:keepNext/>
        <w:pageBreakBefore/>
        <w:pBdr>
          <w:bottom w:val="single" w:color="C8A875" w:sz="6" w:space="4"/>
        </w:pBdr>
        <w:spacing w:after="140" w:before="0"/>
      </w:pPr>
      <w:r>
        <w:rPr>
          <w:rFonts w:ascii="Times New Roman" w:cs="Times New Roman" w:eastAsia="Times New Roman" w:hAnsi="Times New Roman"/>
          <w:b/>
          <w:bCs/>
          <w:color w:val="1F3A5F"/>
          <w:sz w:val="30"/>
          <w:szCs w:val="30"/>
        </w:rPr>
        <w:t xml:space="preserve">1. Introduction</w:t>
      </w:r>
    </w:p>
    <w:p>
      <w:pPr>
        <w:pStyle w:val="Heading2"/>
        <w:keepNext/>
        <w:spacing w:after="100" w:before="240"/>
      </w:pPr>
      <w:r>
        <w:rPr>
          <w:rFonts w:ascii="Times New Roman" w:cs="Times New Roman" w:eastAsia="Times New Roman" w:hAnsi="Times New Roman"/>
          <w:b/>
          <w:bCs/>
          <w:color w:val="1F3A5F"/>
          <w:sz w:val="24"/>
          <w:szCs w:val="24"/>
        </w:rPr>
        <w:t xml:space="preserve">1.1 Purpose and scope</w:t>
      </w:r>
    </w:p>
    <w:p>
      <w:pPr>
        <w:spacing w:after="150" w:line="292"/>
        <w:jc w:val="both"/>
      </w:pPr>
      <w:r>
        <w:rPr>
          <w:rFonts w:ascii="Times New Roman" w:cs="Times New Roman" w:eastAsia="Times New Roman" w:hAnsi="Times New Roman"/>
          <w:sz w:val="23"/>
          <w:szCs w:val="23"/>
        </w:rPr>
        <w:t xml:space="preserve">People have long described courtship in the language of chance: a meeting is "lucky", a relationship "had good odds", a breakup was "bound to happen". Relationship science has turned parts of this intuition into testable models of who is attracted to whom at first meeting, which couples remain satisfied, and when relationships end. The Institute for Human Evolution (IHE) uses the term </w:t>
      </w:r>
      <w:r>
        <w:rPr>
          <w:rFonts w:ascii="Times New Roman" w:cs="Times New Roman" w:eastAsia="Times New Roman" w:hAnsi="Times New Roman"/>
          <w:i/>
          <w:iCs/>
          <w:sz w:val="23"/>
          <w:szCs w:val="23"/>
        </w:rPr>
        <w:t xml:space="preserve">Seductics</w:t>
      </w:r>
      <w:r>
        <w:rPr>
          <w:rFonts w:ascii="Times New Roman" w:cs="Times New Roman" w:eastAsia="Times New Roman" w:hAnsi="Times New Roman"/>
          <w:sz w:val="23"/>
          <w:szCs w:val="23"/>
        </w:rPr>
        <w:t xml:space="preserve"> for the mathematical study of romantic probability, organized around three questions: how likely is attraction to form, how likely is it to deepen into attachment, and how likely is attachment to stabilize or end.</w:t>
      </w:r>
    </w:p>
    <w:p>
      <w:pPr>
        <w:spacing w:after="150" w:line="292"/>
        <w:jc w:val="both"/>
      </w:pPr>
      <w:r>
        <w:rPr>
          <w:rFonts w:ascii="Times New Roman" w:cs="Times New Roman" w:eastAsia="Times New Roman" w:hAnsi="Times New Roman"/>
          <w:sz w:val="23"/>
          <w:szCs w:val="23"/>
        </w:rPr>
        <w:t xml:space="preserve">These questions invite simple answers that do not survive scrutiny. Popular and applied writing on dating often treats each interaction as a fresh roll of the dice, scores people on composite indices of "attraction potential" or "collapse risk", sorts relationships into a few named trajectory types, and offers timing rules for steering another person's interest. This paper treats the probabilistic view as a </w:t>
      </w:r>
      <w:r>
        <w:rPr>
          <w:rFonts w:ascii="Times New Roman" w:cs="Times New Roman" w:eastAsia="Times New Roman" w:hAnsi="Times New Roman"/>
          <w:i/>
          <w:iCs/>
          <w:sz w:val="23"/>
          <w:szCs w:val="23"/>
        </w:rPr>
        <w:t xml:space="preserve">proposed modeling framework</w:t>
      </w:r>
      <w:r>
        <w:rPr>
          <w:rFonts w:ascii="Times New Roman" w:cs="Times New Roman" w:eastAsia="Times New Roman" w:hAnsi="Times New Roman"/>
          <w:sz w:val="23"/>
          <w:szCs w:val="23"/>
        </w:rPr>
        <w:t xml:space="preserve">. It asks what assumptions such a framework requires, which model classes fit the structure of romantic interaction, and what evidence would be needed before any part of it could be trusted.</w:t>
      </w:r>
    </w:p>
    <w:p>
      <w:pPr>
        <w:spacing w:after="150" w:line="292"/>
        <w:jc w:val="both"/>
      </w:pPr>
      <w:r>
        <w:rPr>
          <w:rFonts w:ascii="Times New Roman" w:cs="Times New Roman" w:eastAsia="Times New Roman" w:hAnsi="Times New Roman"/>
          <w:sz w:val="23"/>
          <w:szCs w:val="23"/>
        </w:rPr>
        <w:t xml:space="preserve">The paper is methodological and reports no new data. It is the fifth paper in the IHE series: IHE-WP-01 sets out the series' multilevel framework and definitions, IHE-WP-02 reviews the neurobiology of relationship loss, IHE-WP-03 the evolutionary literature on mating, and IHE-WP-04 the evidence on human chemosignals.</w:t>
      </w:r>
    </w:p>
    <w:p>
      <w:pPr>
        <w:pStyle w:val="Heading2"/>
        <w:keepNext/>
        <w:spacing w:after="100" w:before="240"/>
      </w:pPr>
      <w:r>
        <w:rPr>
          <w:rFonts w:ascii="Times New Roman" w:cs="Times New Roman" w:eastAsia="Times New Roman" w:hAnsi="Times New Roman"/>
          <w:b/>
          <w:bCs/>
          <w:color w:val="1F3A5F"/>
          <w:sz w:val="24"/>
          <w:szCs w:val="24"/>
        </w:rPr>
        <w:t xml:space="preserve">1.2 Definitions</w:t>
      </w:r>
    </w:p>
    <w:p>
      <w:pPr>
        <w:spacing w:after="150" w:line="292"/>
        <w:jc w:val="both"/>
      </w:pPr>
      <w:r>
        <w:rPr>
          <w:rFonts w:ascii="Times New Roman" w:cs="Times New Roman" w:eastAsia="Times New Roman" w:hAnsi="Times New Roman"/>
          <w:sz w:val="23"/>
          <w:szCs w:val="23"/>
        </w:rPr>
        <w:t xml:space="preserve">Following IHE-WP-01, </w:t>
      </w:r>
      <w:r>
        <w:rPr>
          <w:rFonts w:ascii="Times New Roman" w:cs="Times New Roman" w:eastAsia="Times New Roman" w:hAnsi="Times New Roman"/>
          <w:i/>
          <w:iCs/>
          <w:sz w:val="23"/>
          <w:szCs w:val="23"/>
        </w:rPr>
        <w:t xml:space="preserve">seduction</w:t>
      </w:r>
      <w:r>
        <w:rPr>
          <w:rFonts w:ascii="Times New Roman" w:cs="Times New Roman" w:eastAsia="Times New Roman" w:hAnsi="Times New Roman"/>
          <w:sz w:val="23"/>
          <w:szCs w:val="23"/>
        </w:rPr>
        <w:t xml:space="preserve"> is used in this series as an umbrella term for consensual, communicative behavior by which one person seeks to elicit or increase another person's romantic or sexual interest. Coercion, deception about material facts, harassment, and attempts to manipulate a person who has not consented are outside this definition. They are not treated as skills to be modeled or improved, and no model in this paper has the success of such behavior as its outcome.</w:t>
      </w:r>
    </w:p>
    <w:p>
      <w:pPr>
        <w:spacing w:after="150" w:line="292"/>
        <w:jc w:val="both"/>
      </w:pPr>
      <w:r>
        <w:rPr>
          <w:rFonts w:ascii="Times New Roman" w:cs="Times New Roman" w:eastAsia="Times New Roman" w:hAnsi="Times New Roman"/>
          <w:sz w:val="23"/>
          <w:szCs w:val="23"/>
        </w:rPr>
        <w:t xml:space="preserve">A </w:t>
      </w:r>
      <w:r>
        <w:rPr>
          <w:rFonts w:ascii="Times New Roman" w:cs="Times New Roman" w:eastAsia="Times New Roman" w:hAnsi="Times New Roman"/>
          <w:i/>
          <w:iCs/>
          <w:sz w:val="23"/>
          <w:szCs w:val="23"/>
        </w:rPr>
        <w:t xml:space="preserve">romantic outcome</w:t>
      </w:r>
      <w:r>
        <w:rPr>
          <w:rFonts w:ascii="Times New Roman" w:cs="Times New Roman" w:eastAsia="Times New Roman" w:hAnsi="Times New Roman"/>
          <w:sz w:val="23"/>
          <w:szCs w:val="23"/>
        </w:rPr>
        <w:t xml:space="preserve"> is a reportable state of a relationship between two people, defined in advance: for example, both people reporting interest in meeting again, both describing themselves as in a relationship, or the relationship having ended. Outcomes are properties of the </w:t>
      </w:r>
      <w:r>
        <w:rPr>
          <w:rFonts w:ascii="Times New Roman" w:cs="Times New Roman" w:eastAsia="Times New Roman" w:hAnsi="Times New Roman"/>
          <w:i/>
          <w:iCs/>
          <w:sz w:val="23"/>
          <w:szCs w:val="23"/>
        </w:rPr>
        <w:t xml:space="preserve">dyad</w:t>
      </w:r>
      <w:r>
        <w:rPr>
          <w:rFonts w:ascii="Times New Roman" w:cs="Times New Roman" w:eastAsia="Times New Roman" w:hAnsi="Times New Roman"/>
          <w:sz w:val="23"/>
          <w:szCs w:val="23"/>
        </w:rPr>
        <w:t xml:space="preserve"> (the pair), established by both people's reports or by records they have consented to share, and never defined as one person's success in obtaining something from the other.</w:t>
      </w:r>
    </w:p>
    <w:p>
      <w:pPr>
        <w:spacing w:after="150" w:line="292"/>
        <w:jc w:val="both"/>
      </w:pPr>
      <w:r>
        <w:rPr>
          <w:rFonts w:ascii="Times New Roman" w:cs="Times New Roman" w:eastAsia="Times New Roman" w:hAnsi="Times New Roman"/>
          <w:sz w:val="23"/>
          <w:szCs w:val="23"/>
        </w:rPr>
        <w:t xml:space="preserve">A </w:t>
      </w:r>
      <w:r>
        <w:rPr>
          <w:rFonts w:ascii="Times New Roman" w:cs="Times New Roman" w:eastAsia="Times New Roman" w:hAnsi="Times New Roman"/>
          <w:i/>
          <w:iCs/>
          <w:sz w:val="23"/>
          <w:szCs w:val="23"/>
        </w:rPr>
        <w:t xml:space="preserve">model</w:t>
      </w:r>
      <w:r>
        <w:rPr>
          <w:rFonts w:ascii="Times New Roman" w:cs="Times New Roman" w:eastAsia="Times New Roman" w:hAnsi="Times New Roman"/>
          <w:sz w:val="23"/>
          <w:szCs w:val="23"/>
        </w:rPr>
        <w:t xml:space="preserve"> is a formal statement of how observable quantities are generated, including which are random and how they depend on one another; a </w:t>
      </w:r>
      <w:r>
        <w:rPr>
          <w:rFonts w:ascii="Times New Roman" w:cs="Times New Roman" w:eastAsia="Times New Roman" w:hAnsi="Times New Roman"/>
          <w:i/>
          <w:iCs/>
          <w:sz w:val="23"/>
          <w:szCs w:val="23"/>
        </w:rPr>
        <w:t xml:space="preserve">parameter</w:t>
      </w:r>
      <w:r>
        <w:rPr>
          <w:rFonts w:ascii="Times New Roman" w:cs="Times New Roman" w:eastAsia="Times New Roman" w:hAnsi="Times New Roman"/>
          <w:sz w:val="23"/>
          <w:szCs w:val="23"/>
        </w:rPr>
        <w:t xml:space="preserve"> is a fixed but unknown quantity in a model. </w:t>
      </w:r>
      <w:r>
        <w:rPr>
          <w:rFonts w:ascii="Times New Roman" w:cs="Times New Roman" w:eastAsia="Times New Roman" w:hAnsi="Times New Roman"/>
          <w:i/>
          <w:iCs/>
          <w:sz w:val="23"/>
          <w:szCs w:val="23"/>
        </w:rPr>
        <w:t xml:space="preserve">Prediction</w:t>
      </w:r>
      <w:r>
        <w:rPr>
          <w:rFonts w:ascii="Times New Roman" w:cs="Times New Roman" w:eastAsia="Times New Roman" w:hAnsi="Times New Roman"/>
          <w:sz w:val="23"/>
          <w:szCs w:val="23"/>
        </w:rPr>
        <w:t xml:space="preserve"> means stating a probability for an outcome before it is observed; </w:t>
      </w:r>
      <w:r>
        <w:rPr>
          <w:rFonts w:ascii="Times New Roman" w:cs="Times New Roman" w:eastAsia="Times New Roman" w:hAnsi="Times New Roman"/>
          <w:i/>
          <w:iCs/>
          <w:sz w:val="23"/>
          <w:szCs w:val="23"/>
        </w:rPr>
        <w:t xml:space="preserve">explanation</w:t>
      </w:r>
      <w:r>
        <w:rPr>
          <w:rFonts w:ascii="Times New Roman" w:cs="Times New Roman" w:eastAsia="Times New Roman" w:hAnsi="Times New Roman"/>
          <w:sz w:val="23"/>
          <w:szCs w:val="23"/>
        </w:rPr>
        <w:t xml:space="preserve"> means identifying its causes, and good prediction does not imply correct explanation (Yarkoni &amp; Westfall, 2017). </w:t>
      </w:r>
      <w:r>
        <w:rPr>
          <w:rFonts w:ascii="Times New Roman" w:cs="Times New Roman" w:eastAsia="Times New Roman" w:hAnsi="Times New Roman"/>
          <w:i/>
          <w:iCs/>
          <w:sz w:val="23"/>
          <w:szCs w:val="23"/>
        </w:rPr>
        <w:t xml:space="preserve">Population-level</w:t>
      </w:r>
      <w:r>
        <w:rPr>
          <w:rFonts w:ascii="Times New Roman" w:cs="Times New Roman" w:eastAsia="Times New Roman" w:hAnsi="Times New Roman"/>
          <w:sz w:val="23"/>
          <w:szCs w:val="23"/>
        </w:rPr>
        <w:t xml:space="preserve"> statements concern rates in a defined population; </w:t>
      </w:r>
      <w:r>
        <w:rPr>
          <w:rFonts w:ascii="Times New Roman" w:cs="Times New Roman" w:eastAsia="Times New Roman" w:hAnsi="Times New Roman"/>
          <w:i/>
          <w:iCs/>
          <w:sz w:val="23"/>
          <w:szCs w:val="23"/>
        </w:rPr>
        <w:t xml:space="preserve">individual-level</w:t>
      </w:r>
      <w:r>
        <w:rPr>
          <w:rFonts w:ascii="Times New Roman" w:cs="Times New Roman" w:eastAsia="Times New Roman" w:hAnsi="Times New Roman"/>
          <w:sz w:val="23"/>
          <w:szCs w:val="23"/>
        </w:rPr>
        <w:t xml:space="preserve"> statements concern one person or couple. A model can describe a population well and still say little about any particular pair.</w:t>
      </w:r>
    </w:p>
    <w:p>
      <w:pPr>
        <w:spacing w:after="150" w:line="292"/>
        <w:jc w:val="both"/>
      </w:pPr>
      <w:r>
        <w:rPr>
          <w:rFonts w:ascii="Times New Roman" w:cs="Times New Roman" w:eastAsia="Times New Roman" w:hAnsi="Times New Roman"/>
          <w:i/>
          <w:iCs/>
          <w:sz w:val="23"/>
          <w:szCs w:val="23"/>
        </w:rPr>
        <w:t xml:space="preserve">Calibration</w:t>
      </w:r>
      <w:r>
        <w:rPr>
          <w:rFonts w:ascii="Times New Roman" w:cs="Times New Roman" w:eastAsia="Times New Roman" w:hAnsi="Times New Roman"/>
          <w:sz w:val="23"/>
          <w:szCs w:val="23"/>
        </w:rPr>
        <w:t xml:space="preserve"> is the agreement between predicted probabilities and observed frequencies: among cases given a probability of 0.30, about 30% should experience the outcome. </w:t>
      </w:r>
      <w:r>
        <w:rPr>
          <w:rFonts w:ascii="Times New Roman" w:cs="Times New Roman" w:eastAsia="Times New Roman" w:hAnsi="Times New Roman"/>
          <w:i/>
          <w:iCs/>
          <w:sz w:val="23"/>
          <w:szCs w:val="23"/>
        </w:rPr>
        <w:t xml:space="preserve">Discrimination</w:t>
      </w:r>
      <w:r>
        <w:rPr>
          <w:rFonts w:ascii="Times New Roman" w:cs="Times New Roman" w:eastAsia="Times New Roman" w:hAnsi="Times New Roman"/>
          <w:sz w:val="23"/>
          <w:szCs w:val="23"/>
        </w:rPr>
        <w:t xml:space="preserve"> is the ability to rank cases that experience the outcome above those that do not, commonly summarized by the area under the receiver operating characteristic curve (AUC), where 0.5 is chance and 1.0 perfect. </w:t>
      </w:r>
      <w:r>
        <w:rPr>
          <w:rFonts w:ascii="Times New Roman" w:cs="Times New Roman" w:eastAsia="Times New Roman" w:hAnsi="Times New Roman"/>
          <w:i/>
          <w:iCs/>
          <w:sz w:val="23"/>
          <w:szCs w:val="23"/>
        </w:rPr>
        <w:t xml:space="preserve">Out-of-sample validation</w:t>
      </w:r>
      <w:r>
        <w:rPr>
          <w:rFonts w:ascii="Times New Roman" w:cs="Times New Roman" w:eastAsia="Times New Roman" w:hAnsi="Times New Roman"/>
          <w:sz w:val="23"/>
          <w:szCs w:val="23"/>
        </w:rPr>
        <w:t xml:space="preserve"> means evaluating a model on data not used to build it.</w:t>
      </w:r>
    </w:p>
    <w:p>
      <w:pPr>
        <w:keepNext/>
        <w:keepLines/>
        <w:pBdr>
          <w:top w:val="single" w:color="F5F1E9" w:sz="2" w:space="6"/>
          <w:left w:val="single" w:color="C8A875" w:sz="24" w:space="10"/>
        </w:pBdr>
        <w:shd w:fill="F5F1E9" w:color="auto" w:val="clear"/>
        <w:spacing w:after="60" w:before="160" w:line="290"/>
        <w:ind w:left="240" w:right="240"/>
      </w:pPr>
      <w:r>
        <w:rPr>
          <w:rFonts w:ascii="Times New Roman" w:cs="Times New Roman" w:eastAsia="Times New Roman" w:hAnsi="Times New Roman"/>
          <w:b/>
          <w:bCs/>
          <w:sz w:val="22"/>
          <w:szCs w:val="22"/>
        </w:rPr>
        <w:t xml:space="preserve">Evidence-strength legend used in this paper</w:t>
      </w:r>
    </w:p>
    <w:p>
      <w:pPr>
        <w:keepNext w:val="false"/>
        <w:keepLines/>
        <w:pBdr>
          <w:left w:val="single" w:color="C8A875" w:sz="24" w:space="10"/>
          <w:bottom w:val="single" w:color="F5F1E9" w:sz="2" w:space="6"/>
        </w:pBdr>
        <w:shd w:fill="F5F1E9" w:color="auto" w:val="clear"/>
        <w:spacing w:after="220" w:before="0" w:line="290"/>
        <w:ind w:left="240" w:right="240"/>
      </w:pPr>
      <w:r>
        <w:rPr>
          <w:rFonts w:ascii="Times New Roman" w:cs="Times New Roman" w:eastAsia="Times New Roman" w:hAnsi="Times New Roman"/>
          <w:b/>
          <w:bCs/>
          <w:sz w:val="22"/>
          <w:szCs w:val="22"/>
        </w:rPr>
        <w:t xml:space="preserve">Established</w:t>
      </w:r>
      <w:r>
        <w:rPr>
          <w:rFonts w:ascii="Times New Roman" w:cs="Times New Roman" w:eastAsia="Times New Roman" w:hAnsi="Times New Roman"/>
          <w:sz w:val="22"/>
          <w:szCs w:val="22"/>
        </w:rPr>
        <w:t xml:space="preserve">: replicated, convergent methods, large or meta-analytic evidence. </w:t>
      </w:r>
      <w:r>
        <w:rPr>
          <w:rFonts w:ascii="Times New Roman" w:cs="Times New Roman" w:eastAsia="Times New Roman" w:hAnsi="Times New Roman"/>
          <w:b/>
          <w:bCs/>
          <w:sz w:val="22"/>
          <w:szCs w:val="22"/>
        </w:rPr>
        <w:t xml:space="preserve">Supported</w:t>
      </w:r>
      <w:r>
        <w:rPr>
          <w:rFonts w:ascii="Times New Roman" w:cs="Times New Roman" w:eastAsia="Times New Roman" w:hAnsi="Times New Roman"/>
          <w:sz w:val="22"/>
          <w:szCs w:val="22"/>
        </w:rPr>
        <w:t xml:space="preserve">: consistent findings, but limited replication, samples, or methods. </w:t>
      </w:r>
      <w:r>
        <w:rPr>
          <w:rFonts w:ascii="Times New Roman" w:cs="Times New Roman" w:eastAsia="Times New Roman" w:hAnsi="Times New Roman"/>
          <w:b/>
          <w:bCs/>
          <w:sz w:val="22"/>
          <w:szCs w:val="22"/>
        </w:rPr>
        <w:t xml:space="preserve">Preliminary</w:t>
      </w:r>
      <w:r>
        <w:rPr>
          <w:rFonts w:ascii="Times New Roman" w:cs="Times New Roman" w:eastAsia="Times New Roman" w:hAnsi="Times New Roman"/>
          <w:sz w:val="22"/>
          <w:szCs w:val="22"/>
        </w:rPr>
        <w:t xml:space="preserve">: few or small studies, or a single method. </w:t>
      </w:r>
      <w:r>
        <w:rPr>
          <w:rFonts w:ascii="Times New Roman" w:cs="Times New Roman" w:eastAsia="Times New Roman" w:hAnsi="Times New Roman"/>
          <w:b/>
          <w:bCs/>
          <w:sz w:val="22"/>
          <w:szCs w:val="22"/>
        </w:rPr>
        <w:t xml:space="preserve">Contested</w:t>
      </w:r>
      <w:r>
        <w:rPr>
          <w:rFonts w:ascii="Times New Roman" w:cs="Times New Roman" w:eastAsia="Times New Roman" w:hAnsi="Times New Roman"/>
          <w:sz w:val="22"/>
          <w:szCs w:val="22"/>
        </w:rPr>
        <w:t xml:space="preserve">: credible evidence on more than one side, or failed replications. </w:t>
      </w:r>
      <w:r>
        <w:rPr>
          <w:rFonts w:ascii="Times New Roman" w:cs="Times New Roman" w:eastAsia="Times New Roman" w:hAnsi="Times New Roman"/>
          <w:b/>
          <w:bCs/>
          <w:sz w:val="22"/>
          <w:szCs w:val="22"/>
        </w:rPr>
        <w:t xml:space="preserve">Speculative</w:t>
      </w:r>
      <w:r>
        <w:rPr>
          <w:rFonts w:ascii="Times New Roman" w:cs="Times New Roman" w:eastAsia="Times New Roman" w:hAnsi="Times New Roman"/>
          <w:sz w:val="22"/>
          <w:szCs w:val="22"/>
        </w:rPr>
        <w:t xml:space="preserve">: plausible hypothesis, no direct evidence.</w:t>
      </w:r>
    </w:p>
    <w:p>
      <w:pPr>
        <w:keepNext/>
        <w:keepLines/>
        <w:pBdr>
          <w:top w:val="single" w:color="F5F1E9" w:sz="2" w:space="6"/>
          <w:left w:val="single" w:color="C8A875" w:sz="24" w:space="10"/>
        </w:pBdr>
        <w:shd w:fill="F5F1E9" w:color="auto" w:val="clear"/>
        <w:spacing w:after="60" w:before="160" w:line="290"/>
        <w:ind w:left="240" w:right="240"/>
      </w:pPr>
      <w:r>
        <w:rPr>
          <w:rFonts w:ascii="Times New Roman" w:cs="Times New Roman" w:eastAsia="Times New Roman" w:hAnsi="Times New Roman"/>
          <w:b/>
          <w:bCs/>
          <w:sz w:val="22"/>
          <w:szCs w:val="22"/>
        </w:rPr>
        <w:t xml:space="preserve">What this paper does not claim</w:t>
      </w:r>
    </w:p>
    <w:p>
      <w:pPr>
        <w:keepNext w:val="false"/>
        <w:keepLines/>
        <w:pBdr>
          <w:left w:val="single" w:color="C8A875" w:sz="24" w:space="10"/>
          <w:bottom w:val="single" w:color="F5F1E9" w:sz="2" w:space="6"/>
        </w:pBdr>
        <w:shd w:fill="F5F1E9" w:color="auto" w:val="clear"/>
        <w:spacing w:after="220" w:before="0" w:line="290"/>
        <w:ind w:left="240" w:right="240"/>
      </w:pPr>
      <w:r>
        <w:rPr>
          <w:rFonts w:ascii="Times New Roman" w:cs="Times New Roman" w:eastAsia="Times New Roman" w:hAnsi="Times New Roman"/>
          <w:sz w:val="22"/>
          <w:szCs w:val="22"/>
        </w:rPr>
        <w:t xml:space="preserve">This paper does not offer a tool that predicts whether a particular person will become attracted to, form a relationship with, or leave a particular other person; IHE offers no individual-level predictions and no consumer tool. It does not claim that any index, score or equation described here has been validated, or that romantic behavior follows laws: the Institute describes tendencies, and every numerical example uses illustrative parameters that are not estimates from data. It does not claim that IHE has run studies on this topic or holds data on it. IHE provides preventive education, not treatment, and does not offer matchmaking. Nothing here is advice on how to influence another person's feelings, and people who need clinical care should see a licensed clinician.</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2. Prior formal work and the predictive record</w:t>
      </w:r>
    </w:p>
    <w:p>
      <w:pPr>
        <w:pStyle w:val="Heading2"/>
        <w:keepNext/>
        <w:spacing w:after="100" w:before="240"/>
      </w:pPr>
      <w:r>
        <w:rPr>
          <w:rFonts w:ascii="Times New Roman" w:cs="Times New Roman" w:eastAsia="Times New Roman" w:hAnsi="Times New Roman"/>
          <w:b/>
          <w:bCs/>
          <w:color w:val="1F3A5F"/>
          <w:sz w:val="24"/>
          <w:szCs w:val="24"/>
        </w:rPr>
        <w:t xml:space="preserve">2.1 Formal models of romantic dynamics already exist</w:t>
      </w:r>
    </w:p>
    <w:p>
      <w:pPr>
        <w:spacing w:after="150" w:line="292"/>
        <w:jc w:val="both"/>
      </w:pPr>
      <w:r>
        <w:rPr>
          <w:rFonts w:ascii="Times New Roman" w:cs="Times New Roman" w:eastAsia="Times New Roman" w:hAnsi="Times New Roman"/>
          <w:sz w:val="23"/>
          <w:szCs w:val="23"/>
        </w:rPr>
        <w:t xml:space="preserve">Romantic interaction has been modeled formally many times. Strogatz (1988) used a pair of linear differential equations, in a deliberately playful one-page note, to show how two people's feelings could cycle, converge or diverge depending on how each responds to the other. Felmlee and Greenberg (1999) proposed a dynamic systems model in which each partner's behavior adjusts toward a personal ideal and toward the partner's behavior. Gottman et al. (1999) fitted nonlinear difference equations to newlywed conflict interaction, estimating "influence functions" that describe how one spouse's affect shifts the other's. Butler (2011) reviewed work on temporal interpersonal emotion systems, mapping coupling, synchrony and co-regulation onto statistical models, and methods for non-independent dyadic data are well developed (Kenny et al., 2006). Any new framework must therefore say what it adds (</w:t>
      </w:r>
      <w:r>
        <w:rPr>
          <w:rFonts w:ascii="Times New Roman" w:cs="Times New Roman" w:eastAsia="Times New Roman" w:hAnsi="Times New Roman"/>
          <w:b/>
          <w:bCs/>
          <w:sz w:val="23"/>
          <w:szCs w:val="23"/>
        </w:rPr>
        <w:t xml:space="preserve">Established</w:t>
      </w:r>
      <w:r>
        <w:rPr>
          <w:rFonts w:ascii="Times New Roman" w:cs="Times New Roman" w:eastAsia="Times New Roman" w:hAnsi="Times New Roman"/>
          <w:sz w:val="23"/>
          <w:szCs w:val="23"/>
        </w:rPr>
        <w:t xml:space="preserve">, for the existence of such models). Most of these models are theoretical or fitted to modest samples: they show that formalization is possible, not that it yields accurate individual-level prediction.</w:t>
      </w:r>
    </w:p>
    <w:p>
      <w:pPr>
        <w:pStyle w:val="Heading2"/>
        <w:keepNext/>
        <w:spacing w:after="100" w:before="240"/>
      </w:pPr>
      <w:r>
        <w:rPr>
          <w:rFonts w:ascii="Times New Roman" w:cs="Times New Roman" w:eastAsia="Times New Roman" w:hAnsi="Times New Roman"/>
          <w:b/>
          <w:bCs/>
          <w:color w:val="1F3A5F"/>
          <w:sz w:val="24"/>
          <w:szCs w:val="24"/>
        </w:rPr>
        <w:t xml:space="preserve">2.2 Statistical versus intuitive prediction</w:t>
      </w:r>
    </w:p>
    <w:p>
      <w:pPr>
        <w:spacing w:after="150" w:line="292"/>
        <w:jc w:val="both"/>
      </w:pPr>
      <w:r>
        <w:rPr>
          <w:rFonts w:ascii="Times New Roman" w:cs="Times New Roman" w:eastAsia="Times New Roman" w:hAnsi="Times New Roman"/>
          <w:sz w:val="23"/>
          <w:szCs w:val="23"/>
        </w:rPr>
        <w:t xml:space="preserve">Meehl (1954) reviewed early comparisons of clinical and statistical prediction and found statistical combination of information generally as accurate as clinical judgment or more so. Dawes (1979) showed that "improper" linear models, such as unweighted sums of standardized predictors, often outperform intuitive judgment and approach optimally weighted models in new samples. A meta-analysis by Grove et al. (2000) found mechanical prediction modestly more accurate than clinical prediction on average across many domains, and substantially less accurate in only a small minority of comparisons (</w:t>
      </w:r>
      <w:r>
        <w:rPr>
          <w:rFonts w:ascii="Times New Roman" w:cs="Times New Roman" w:eastAsia="Times New Roman" w:hAnsi="Times New Roman"/>
          <w:b/>
          <w:bCs/>
          <w:sz w:val="23"/>
          <w:szCs w:val="23"/>
        </w:rPr>
        <w:t xml:space="preserve">Established</w:t>
      </w:r>
      <w:r>
        <w:rPr>
          <w:rFonts w:ascii="Times New Roman" w:cs="Times New Roman" w:eastAsia="Times New Roman" w:hAnsi="Times New Roman"/>
          <w:sz w:val="23"/>
          <w:szCs w:val="23"/>
        </w:rPr>
        <w:t xml:space="preserve">). This supports formal modeling in general but does not show that romantic outcomes are highly predictable. It shows that when information is weakly predictive, simple formal combination extracts what signal there is more consistently than intuition, and that the validity of a scoring rule's components matters more than its weights.</w:t>
      </w:r>
    </w:p>
    <w:p>
      <w:pPr>
        <w:pStyle w:val="Heading2"/>
        <w:keepNext/>
        <w:spacing w:after="100" w:before="240"/>
      </w:pPr>
      <w:r>
        <w:rPr>
          <w:rFonts w:ascii="Times New Roman" w:cs="Times New Roman" w:eastAsia="Times New Roman" w:hAnsi="Times New Roman"/>
          <w:b/>
          <w:bCs/>
          <w:color w:val="1F3A5F"/>
          <w:sz w:val="24"/>
          <w:szCs w:val="24"/>
        </w:rPr>
        <w:t xml:space="preserve">2.3 What predicts initial attraction</w:t>
      </w:r>
    </w:p>
    <w:p>
      <w:pPr>
        <w:spacing w:after="150" w:line="292"/>
        <w:jc w:val="both"/>
      </w:pPr>
      <w:r>
        <w:rPr>
          <w:rFonts w:ascii="Times New Roman" w:cs="Times New Roman" w:eastAsia="Times New Roman" w:hAnsi="Times New Roman"/>
          <w:sz w:val="23"/>
          <w:szCs w:val="23"/>
        </w:rPr>
        <w:t xml:space="preserve">Speed-dating designs, in which each participant has brief meetings with many potential partners, allow initial attraction to be studied with repeated measures on real interactions (Finkel et al., 2012). Each rating of romantic desire can be decomposed using the </w:t>
      </w:r>
      <w:r>
        <w:rPr>
          <w:rFonts w:ascii="Times New Roman" w:cs="Times New Roman" w:eastAsia="Times New Roman" w:hAnsi="Times New Roman"/>
          <w:i/>
          <w:iCs/>
          <w:sz w:val="23"/>
          <w:szCs w:val="23"/>
        </w:rPr>
        <w:t xml:space="preserve">social relations model</w:t>
      </w:r>
      <w:r>
        <w:rPr>
          <w:rFonts w:ascii="Times New Roman" w:cs="Times New Roman" w:eastAsia="Times New Roman" w:hAnsi="Times New Roman"/>
          <w:sz w:val="23"/>
          <w:szCs w:val="23"/>
        </w:rPr>
        <w:t xml:space="preserve"> (SRM) into variance due to the rater's general tendency to desire others (actor variance), the ratee's general tendency to be desired (partner variance), and the specific pairing (relationship variance) (Kenny &amp; La Voie, 1984; Kenny et al., 2006).</w:t>
      </w:r>
    </w:p>
    <w:p>
      <w:pPr>
        <w:spacing w:after="150" w:line="292"/>
        <w:jc w:val="both"/>
      </w:pPr>
      <w:r>
        <w:rPr>
          <w:rFonts w:ascii="Times New Roman" w:cs="Times New Roman" w:eastAsia="Times New Roman" w:hAnsi="Times New Roman"/>
          <w:sz w:val="23"/>
          <w:szCs w:val="23"/>
        </w:rPr>
        <w:t xml:space="preserve">Joel et al. (2017) asked whether more than 100 self-reported traits and preferences, measured before two speed-dating events, could predict these components using random-forest models. The models predicted 4% to 18% of actor variance and 7% to 27% of partner variance, but could not predict relationship variance from any combination of pre-date measures. Who tends to like others and who tends to be liked were partly predictable; who would like </w:t>
      </w:r>
      <w:r>
        <w:rPr>
          <w:rFonts w:ascii="Times New Roman" w:cs="Times New Roman" w:eastAsia="Times New Roman" w:hAnsi="Times New Roman"/>
          <w:i/>
          <w:iCs/>
          <w:sz w:val="23"/>
          <w:szCs w:val="23"/>
        </w:rPr>
        <w:t xml:space="preserve">whom</w:t>
      </w:r>
      <w:r>
        <w:rPr>
          <w:rFonts w:ascii="Times New Roman" w:cs="Times New Roman" w:eastAsia="Times New Roman" w:hAnsi="Times New Roman"/>
          <w:sz w:val="23"/>
          <w:szCs w:val="23"/>
        </w:rPr>
        <w:t xml:space="preserve"> was not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two studies, heterosexual speed-dating samples). Consensus about who is desirable is substantial among people who have just met but less marked as acquaintance develops, when relationship-specific evaluations become more prominent (Eastwick &amp; Hunt, 2014). Stated ideal-partner preferences also predict evaluations of real partners less well than their prominence in self-report suggests, and sex differences in stated preferences are not well mirrored in how traits predict evaluations of actual partners (Eastwick et al., 2014).</w:t>
      </w:r>
    </w:p>
    <w:p>
      <w:pPr>
        <w:spacing w:after="150" w:line="292"/>
        <w:jc w:val="both"/>
      </w:pPr>
      <w:r>
        <w:rPr>
          <w:rFonts w:ascii="Times New Roman" w:cs="Times New Roman" w:eastAsia="Times New Roman" w:hAnsi="Times New Roman"/>
          <w:sz w:val="23"/>
          <w:szCs w:val="23"/>
        </w:rPr>
        <w:t xml:space="preserve">Round-robin studies confirm that actor, partner and relationship components can be separated at zero acquaintance (Back et al., 2011). A one-year follow-up of a community speed-dating sample (382 participants aged 18 to 54) found that the chance of later sexual contact with a given speed-dating partner was 6% and of a romantic relationship 4% (Asendorpf et al., 2011), figures useful as base rates for study design though specific to one population and procedure. One further finding bears directly on Section 3: participants who expressed desire for many partners indiscriminately tended to be desired less in return, whereas selective desire tended to be reciprocated (Eastwick et al., 2007). The meaning of a signal depends on its pattern across partners, not only on its content.</w:t>
      </w:r>
    </w:p>
    <w:p>
      <w:pPr>
        <w:pStyle w:val="Heading2"/>
        <w:keepNext/>
        <w:spacing w:after="100" w:before="240"/>
      </w:pPr>
      <w:r>
        <w:rPr>
          <w:rFonts w:ascii="Times New Roman" w:cs="Times New Roman" w:eastAsia="Times New Roman" w:hAnsi="Times New Roman"/>
          <w:b/>
          <w:bCs/>
          <w:color w:val="1F3A5F"/>
          <w:sz w:val="24"/>
          <w:szCs w:val="24"/>
        </w:rPr>
        <w:t xml:space="preserve">2.4 What predicts relationship quality and dissolution</w:t>
      </w:r>
    </w:p>
    <w:p>
      <w:pPr>
        <w:spacing w:after="150" w:line="292"/>
        <w:jc w:val="both"/>
      </w:pPr>
      <w:r>
        <w:rPr>
          <w:rFonts w:ascii="Times New Roman" w:cs="Times New Roman" w:eastAsia="Times New Roman" w:hAnsi="Times New Roman"/>
          <w:sz w:val="23"/>
          <w:szCs w:val="23"/>
        </w:rPr>
        <w:t xml:space="preserve">A meta-analysis of non-marital dissolution found that relationship-level variables such as commitment, love and dependence predicted breakup more strongly than individual-level variables such as personality (Le et al., 2010). A review of longitudinal research on marriage found many individual predictors with small effects and proposed a vulnerability-stress-adaptation model in which enduring vulnerabilities, stressful events and adaptive processes jointly shape trajectories (Karney &amp; Bradbury, 1995).</w:t>
      </w:r>
    </w:p>
    <w:p>
      <w:pPr>
        <w:spacing w:after="150" w:line="292"/>
        <w:jc w:val="both"/>
      </w:pPr>
      <w:r>
        <w:rPr>
          <w:rFonts w:ascii="Times New Roman" w:cs="Times New Roman" w:eastAsia="Times New Roman" w:hAnsi="Times New Roman"/>
          <w:sz w:val="23"/>
          <w:szCs w:val="23"/>
        </w:rPr>
        <w:t xml:space="preserve">The largest test to date is the machine-learning analysis by Joel et al. (2020) of 43 longitudinal datasets comprising 11,196 couples. People's own perceptions of the relationship, such as how satisfied and committed they judged their partner to be and how appreciative they felt, accounted for approximately 45% of the variance in their current relationship quality. The partner's reports added little, nor did either person's individual differences, and no variable predicted whose relationship quality would increase or decrease over time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These concurrent associations are not causal and partly reflect shared method, since predictors and outcomes were self-reported by the same person.</w:t>
      </w:r>
    </w:p>
    <w:p>
      <w:pPr>
        <w:pStyle w:val="Heading2"/>
        <w:keepNext/>
        <w:spacing w:after="100" w:before="240"/>
      </w:pPr>
      <w:r>
        <w:rPr>
          <w:rFonts w:ascii="Times New Roman" w:cs="Times New Roman" w:eastAsia="Times New Roman" w:hAnsi="Times New Roman"/>
          <w:b/>
          <w:bCs/>
          <w:color w:val="1F3A5F"/>
          <w:sz w:val="24"/>
          <w:szCs w:val="24"/>
        </w:rPr>
        <w:t xml:space="preserve">2.5 Divorce prediction and the problem of cross-validation</w:t>
      </w:r>
    </w:p>
    <w:p>
      <w:pPr>
        <w:spacing w:after="150" w:line="292"/>
        <w:jc w:val="both"/>
      </w:pPr>
      <w:r>
        <w:rPr>
          <w:rFonts w:ascii="Times New Roman" w:cs="Times New Roman" w:eastAsia="Times New Roman" w:hAnsi="Times New Roman"/>
          <w:sz w:val="23"/>
          <w:szCs w:val="23"/>
        </w:rPr>
        <w:t xml:space="preserve">Gottman and Levenson (1992) reported that laboratory observations of interaction and physiology were associated with later marital dissolution, and Gottman et al. (1998) that newlywed interaction predicted later happiness and stability. A 14-year follow-up reported that a model including marital satisfaction, thoughts of dissolution and affective interaction predicted divorce with 93% accuracy (Gottman &amp; Levenson, 2000). These findings have been sharply criticized. Stanley et al. (2000) raised concerns about non-random sampling, failure to control for initial differences, statistical ambiguities, and the use of correlational data to recommend changes to therapy. Heyman and Slep (2001) reanalyzed archival data and showed that accuracy and predictive value fell precipitously under cross-validation and once the population prevalence of divorce was considered. Observed interaction carries some prospective information about relationship outcomes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very high individual-level accuracy has not been demonstrated in independent samples (</w:t>
      </w:r>
      <w:r>
        <w:rPr>
          <w:rFonts w:ascii="Times New Roman" w:cs="Times New Roman" w:eastAsia="Times New Roman" w:hAnsi="Times New Roman"/>
          <w:b/>
          <w:bCs/>
          <w:sz w:val="23"/>
          <w:szCs w:val="23"/>
        </w:rPr>
        <w:t xml:space="preserve">Contested</w:t>
      </w:r>
      <w:r>
        <w:rPr>
          <w:rFonts w:ascii="Times New Roman" w:cs="Times New Roman" w:eastAsia="Times New Roman" w:hAnsi="Times New Roman"/>
          <w:sz w:val="23"/>
          <w:szCs w:val="23"/>
        </w:rPr>
        <w:t xml:space="preserve">). Section 6.4 shows why the distinction matters.</w:t>
      </w:r>
    </w:p>
    <w:p>
      <w:pPr>
        <w:pStyle w:val="Heading2"/>
        <w:keepNext/>
        <w:spacing w:after="100" w:before="240"/>
      </w:pPr>
      <w:r>
        <w:rPr>
          <w:rFonts w:ascii="Times New Roman" w:cs="Times New Roman" w:eastAsia="Times New Roman" w:hAnsi="Times New Roman"/>
          <w:b/>
          <w:bCs/>
          <w:color w:val="1F3A5F"/>
          <w:sz w:val="24"/>
          <w:szCs w:val="24"/>
        </w:rPr>
        <w:t xml:space="preserve">2.6 The general limits of predicting life outcomes</w:t>
      </w:r>
    </w:p>
    <w:p>
      <w:pPr>
        <w:spacing w:after="150" w:line="292"/>
        <w:jc w:val="both"/>
      </w:pPr>
      <w:r>
        <w:rPr>
          <w:rFonts w:ascii="Times New Roman" w:cs="Times New Roman" w:eastAsia="Times New Roman" w:hAnsi="Times New Roman"/>
          <w:sz w:val="23"/>
          <w:szCs w:val="23"/>
        </w:rPr>
        <w:t xml:space="preserve">In a mass collaboration, 160 teams built models to predict six life outcomes from a rich birth-cohort dataset. The best predictions were not very accurate and only slightly better than a simple benchmark, and error depended far more on which family was predicted than on the technique used (Salganik et al., 2020). Romantic outcomes depend on two people, changing circumstances and chance encounters, and there is little reason to expect them to be more predictable. Claims of accurate individual-level romantic prediction should be treated as extraordinary, and every model should be compared with a simple benchmark such as the base rate.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3. A naive baseline: interactions as independent trials</w:t>
      </w:r>
    </w:p>
    <w:p>
      <w:pPr>
        <w:pStyle w:val="Heading2"/>
        <w:keepNext/>
        <w:spacing w:after="100" w:before="240"/>
      </w:pPr>
      <w:r>
        <w:rPr>
          <w:rFonts w:ascii="Times New Roman" w:cs="Times New Roman" w:eastAsia="Times New Roman" w:hAnsi="Times New Roman"/>
          <w:b/>
          <w:bCs/>
          <w:color w:val="1F3A5F"/>
          <w:sz w:val="24"/>
          <w:szCs w:val="24"/>
        </w:rPr>
        <w:t xml:space="preserve">3.1 What the baseline computes</w:t>
      </w:r>
    </w:p>
    <w:p>
      <w:pPr>
        <w:spacing w:after="150" w:line="292"/>
        <w:jc w:val="both"/>
      </w:pPr>
      <w:r>
        <w:rPr>
          <w:rFonts w:ascii="Times New Roman" w:cs="Times New Roman" w:eastAsia="Times New Roman" w:hAnsi="Times New Roman"/>
          <w:sz w:val="23"/>
          <w:szCs w:val="23"/>
        </w:rPr>
        <w:t xml:space="preserve">A naive baseline treats courtship as a sequence of independent attempts and computes</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P(n) = 1 − (1 − p)</w:t>
      </w:r>
      <w:r>
        <w:rPr>
          <w:rFonts w:ascii="Times New Roman" w:cs="Times New Roman" w:eastAsia="Times New Roman" w:hAnsi="Times New Roman"/>
          <w:sz w:val="24"/>
          <w:szCs w:val="24"/>
          <w:vertAlign w:val="superscript"/>
        </w:rPr>
        <w:t xml:space="preserve">n</w:t>
      </w:r>
      <w:r>
        <w:rPr>
          <w:rFonts w:ascii="Times New Roman" w:cs="Times New Roman" w:eastAsia="Times New Roman" w:hAnsi="Times New Roman"/>
          <w:sz w:val="21"/>
          <w:szCs w:val="21"/>
        </w:rPr>
        <w:t xml:space="preserve">	(1)</w:t>
      </w:r>
    </w:p>
    <w:p>
      <w:pPr>
        <w:spacing w:after="150" w:line="292"/>
        <w:jc w:val="both"/>
      </w:pPr>
      <w:r>
        <w:rPr>
          <w:rFonts w:ascii="Times New Roman" w:cs="Times New Roman" w:eastAsia="Times New Roman" w:hAnsi="Times New Roman"/>
          <w:sz w:val="23"/>
          <w:szCs w:val="23"/>
        </w:rPr>
        <w:t xml:space="preserve">where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is the probability of a positive outcome in a single interaction, </w:t>
      </w:r>
      <w:r>
        <w:rPr>
          <w:rFonts w:ascii="Times New Roman" w:cs="Times New Roman" w:eastAsia="Times New Roman" w:hAnsi="Times New Roman"/>
          <w:i/>
          <w:iCs/>
          <w:sz w:val="23"/>
          <w:szCs w:val="23"/>
        </w:rPr>
        <w:t xml:space="preserve">n</w:t>
      </w:r>
      <w:r>
        <w:rPr>
          <w:rFonts w:ascii="Times New Roman" w:cs="Times New Roman" w:eastAsia="Times New Roman" w:hAnsi="Times New Roman"/>
          <w:sz w:val="23"/>
          <w:szCs w:val="23"/>
        </w:rPr>
        <w:t xml:space="preserve"> is the number of interactions, and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w:t>
      </w:r>
      <w:r>
        <w:rPr>
          <w:rFonts w:ascii="Times New Roman" w:cs="Times New Roman" w:eastAsia="Times New Roman" w:hAnsi="Times New Roman"/>
          <w:i/>
          <w:iCs/>
          <w:sz w:val="23"/>
          <w:szCs w:val="23"/>
        </w:rPr>
        <w:t xml:space="preserve">n</w:t>
      </w:r>
      <w:r>
        <w:rPr>
          <w:rFonts w:ascii="Times New Roman" w:cs="Times New Roman" w:eastAsia="Times New Roman" w:hAnsi="Times New Roman"/>
          <w:sz w:val="23"/>
          <w:szCs w:val="23"/>
        </w:rPr>
        <w:t xml:space="preserve">) is the probability of at least one positive outcome in </w:t>
      </w:r>
      <w:r>
        <w:rPr>
          <w:rFonts w:ascii="Times New Roman" w:cs="Times New Roman" w:eastAsia="Times New Roman" w:hAnsi="Times New Roman"/>
          <w:i/>
          <w:iCs/>
          <w:sz w:val="23"/>
          <w:szCs w:val="23"/>
        </w:rPr>
        <w:t xml:space="preserve">n</w:t>
      </w:r>
      <w:r>
        <w:rPr>
          <w:rFonts w:ascii="Times New Roman" w:cs="Times New Roman" w:eastAsia="Times New Roman" w:hAnsi="Times New Roman"/>
          <w:sz w:val="23"/>
          <w:szCs w:val="23"/>
        </w:rPr>
        <w:t xml:space="preserve"> interactions. Equation (1) is correct for </w:t>
      </w:r>
      <w:r>
        <w:rPr>
          <w:rFonts w:ascii="Times New Roman" w:cs="Times New Roman" w:eastAsia="Times New Roman" w:hAnsi="Times New Roman"/>
          <w:i/>
          <w:iCs/>
          <w:sz w:val="23"/>
          <w:szCs w:val="23"/>
        </w:rPr>
        <w:t xml:space="preserve">n</w:t>
      </w:r>
      <w:r>
        <w:rPr>
          <w:rFonts w:ascii="Times New Roman" w:cs="Times New Roman" w:eastAsia="Times New Roman" w:hAnsi="Times New Roman"/>
          <w:sz w:val="23"/>
          <w:szCs w:val="23"/>
        </w:rPr>
        <w:t xml:space="preserve"> independent Bernoulli trials (trials with two outcomes) sharing the same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every trial fails with probability (1 −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w:t>
      </w:r>
      <w:r>
        <w:rPr>
          <w:rFonts w:ascii="Times New Roman" w:cs="Times New Roman" w:eastAsia="Times New Roman" w:hAnsi="Times New Roman"/>
          <w:sz w:val="23"/>
          <w:szCs w:val="23"/>
          <w:vertAlign w:val="superscript"/>
        </w:rPr>
        <w:t xml:space="preserve">n</w:t>
      </w:r>
      <w:r>
        <w:rPr>
          <w:rFonts w:ascii="Times New Roman" w:cs="Times New Roman" w:eastAsia="Times New Roman" w:hAnsi="Times New Roman"/>
          <w:sz w:val="23"/>
          <w:szCs w:val="23"/>
        </w:rPr>
        <w:t xml:space="preserve">, and the complement is at least one success. With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 0.10,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reaches 0.5 after seven trials and 0.651 after ten. Equation (1) does not compute the probability that attraction "accumulates" or "deepens"; it computes the probability that a binary event occurs at least once. Its application to courtship requires three assumptions, each of which fails.</w:t>
      </w:r>
    </w:p>
    <w:p>
      <w:pPr>
        <w:pStyle w:val="Heading2"/>
        <w:keepNext/>
        <w:spacing w:after="100" w:before="240"/>
      </w:pPr>
      <w:r>
        <w:rPr>
          <w:rFonts w:ascii="Times New Roman" w:cs="Times New Roman" w:eastAsia="Times New Roman" w:hAnsi="Times New Roman"/>
          <w:b/>
          <w:bCs/>
          <w:color w:val="1F3A5F"/>
          <w:sz w:val="24"/>
          <w:szCs w:val="24"/>
        </w:rPr>
        <w:t xml:space="preserve">3.2 Assumption 1: a well-defined event</w:t>
      </w:r>
    </w:p>
    <w:p>
      <w:pPr>
        <w:spacing w:after="150" w:line="292"/>
        <w:jc w:val="both"/>
      </w:pPr>
      <w:r>
        <w:rPr>
          <w:rFonts w:ascii="Times New Roman" w:cs="Times New Roman" w:eastAsia="Times New Roman" w:hAnsi="Times New Roman"/>
          <w:sz w:val="23"/>
          <w:szCs w:val="23"/>
        </w:rPr>
        <w:t xml:space="preserve">Accounts of this kind often leave "success" undefined. If success means one person's goal being met regardless of the other's wishes, the model falls outside the Institute's definition of seduction (Section 1.2) and its ethics (Section 10). Defined dyadically and consensually, for example as both people reporting interest in further contact, it becomes a measurable research outcome. The definition must be fixed in advance, because changing it after seeing data inflates apparent accuracy (Simmons et al., 2011).</w:t>
      </w:r>
    </w:p>
    <w:p>
      <w:pPr>
        <w:pStyle w:val="Heading2"/>
        <w:keepNext/>
        <w:spacing w:after="100" w:before="240"/>
      </w:pPr>
      <w:r>
        <w:rPr>
          <w:rFonts w:ascii="Times New Roman" w:cs="Times New Roman" w:eastAsia="Times New Roman" w:hAnsi="Times New Roman"/>
          <w:b/>
          <w:bCs/>
          <w:color w:val="1F3A5F"/>
          <w:sz w:val="24"/>
          <w:szCs w:val="24"/>
        </w:rPr>
        <w:t xml:space="preserve">3.3 Assumption 2: independence and identical distribution</w:t>
      </w:r>
    </w:p>
    <w:p>
      <w:pPr>
        <w:spacing w:after="150" w:line="292"/>
        <w:jc w:val="both"/>
      </w:pPr>
      <w:r>
        <w:rPr>
          <w:rFonts w:ascii="Times New Roman" w:cs="Times New Roman" w:eastAsia="Times New Roman" w:hAnsi="Times New Roman"/>
          <w:sz w:val="23"/>
          <w:szCs w:val="23"/>
        </w:rPr>
        <w:t xml:space="preserve">Equation (1) treats each interaction as a fresh draw. Between the same two people this is implausible. Each exchange changes what each person knows and feels, so the probability of a positive response depends on earlier steps (history dependence). Interest is often mutual and responsive to the other's interest (reciprocity), though not uniformly (Eastwick et al., 2007). People learn, tire, and experience changing circumstances (non-stationarity). Dyadic data are non-independent by construction, and analyses that ignore this mislead (Kenny et al., 2006; Butler, 2011).</w:t>
      </w:r>
    </w:p>
    <w:p>
      <w:pPr>
        <w:spacing w:after="150" w:line="292"/>
        <w:jc w:val="both"/>
      </w:pPr>
      <w:r>
        <w:rPr>
          <w:rFonts w:ascii="Times New Roman" w:cs="Times New Roman" w:eastAsia="Times New Roman" w:hAnsi="Times New Roman"/>
          <w:sz w:val="23"/>
          <w:szCs w:val="23"/>
        </w:rPr>
        <w:t xml:space="preserve">Equation (1) is more defensible for attempts with </w:t>
      </w:r>
      <w:r>
        <w:rPr>
          <w:rFonts w:ascii="Times New Roman" w:cs="Times New Roman" w:eastAsia="Times New Roman" w:hAnsi="Times New Roman"/>
          <w:i/>
          <w:iCs/>
          <w:sz w:val="23"/>
          <w:szCs w:val="23"/>
        </w:rPr>
        <w:t xml:space="preserve">different</w:t>
      </w:r>
      <w:r>
        <w:rPr>
          <w:rFonts w:ascii="Times New Roman" w:cs="Times New Roman" w:eastAsia="Times New Roman" w:hAnsi="Times New Roman"/>
          <w:sz w:val="23"/>
          <w:szCs w:val="23"/>
        </w:rPr>
        <w:t xml:space="preserve"> partners, such as a series of first meetings. Even there,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varies across pairs, and a person's prospects in different encounters are correlated through stable partner variance (Section 2.3). In online dating, contact is structured by a shared desirability hierarchy, and users often contact people ranked above themselves, from whom replies are less likely (Bruch &amp; Newman, 2018).</w:t>
      </w:r>
    </w:p>
    <w:p>
      <w:pPr>
        <w:pStyle w:val="Heading2"/>
        <w:keepNext/>
        <w:spacing w:after="100" w:before="240"/>
      </w:pPr>
      <w:r>
        <w:rPr>
          <w:rFonts w:ascii="Times New Roman" w:cs="Times New Roman" w:eastAsia="Times New Roman" w:hAnsi="Times New Roman"/>
          <w:b/>
          <w:bCs/>
          <w:color w:val="1F3A5F"/>
          <w:sz w:val="24"/>
          <w:szCs w:val="24"/>
        </w:rPr>
        <w:t xml:space="preserve">3.4 Worked example: heterogeneity and decay</w:t>
      </w:r>
    </w:p>
    <w:p>
      <w:pPr>
        <w:spacing w:after="150" w:line="292"/>
        <w:jc w:val="both"/>
      </w:pPr>
      <w:r>
        <w:rPr>
          <w:rFonts w:ascii="Times New Roman" w:cs="Times New Roman" w:eastAsia="Times New Roman" w:hAnsi="Times New Roman"/>
          <w:sz w:val="23"/>
          <w:szCs w:val="23"/>
        </w:rPr>
        <w:t xml:space="preserve">Two departures from Equation (1) show the size of the error. First, let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vary across pairs according to a Beta distribution with mean 0.10. Because (1 −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w:t>
      </w:r>
      <w:r>
        <w:rPr>
          <w:rFonts w:ascii="Times New Roman" w:cs="Times New Roman" w:eastAsia="Times New Roman" w:hAnsi="Times New Roman"/>
          <w:sz w:val="23"/>
          <w:szCs w:val="23"/>
          <w:vertAlign w:val="superscript"/>
        </w:rPr>
        <w:t xml:space="preserve">n</w:t>
      </w:r>
      <w:r>
        <w:rPr>
          <w:rFonts w:ascii="Times New Roman" w:cs="Times New Roman" w:eastAsia="Times New Roman" w:hAnsi="Times New Roman"/>
          <w:sz w:val="23"/>
          <w:szCs w:val="23"/>
        </w:rPr>
        <w:t xml:space="preserve"> is convex in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averaging over heterogeneous pairs gives a lower cumulative probability than inserting the average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into Equation (1) (Jensen's inequality):</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P(n) = 1 − E[(1 − p)</w:t>
      </w:r>
      <w:r>
        <w:rPr>
          <w:rFonts w:ascii="Times New Roman" w:cs="Times New Roman" w:eastAsia="Times New Roman" w:hAnsi="Times New Roman"/>
          <w:sz w:val="24"/>
          <w:szCs w:val="24"/>
          <w:vertAlign w:val="superscript"/>
        </w:rPr>
        <w:t xml:space="preserve">n</w:t>
      </w:r>
      <w:r>
        <w:rPr>
          <w:rFonts w:ascii="Times New Roman" w:cs="Times New Roman" w:eastAsia="Times New Roman" w:hAnsi="Times New Roman"/>
          <w:sz w:val="24"/>
          <w:szCs w:val="24"/>
        </w:rPr>
        <w:t xml:space="preserve">] = 1 − B(a, b + n) / B(a, b)</w:t>
      </w:r>
      <w:r>
        <w:rPr>
          <w:rFonts w:ascii="Times New Roman" w:cs="Times New Roman" w:eastAsia="Times New Roman" w:hAnsi="Times New Roman"/>
          <w:sz w:val="21"/>
          <w:szCs w:val="21"/>
        </w:rPr>
        <w:t xml:space="preserve">	(2)</w:t>
      </w:r>
    </w:p>
    <w:p>
      <w:pPr>
        <w:spacing w:after="150" w:line="292"/>
        <w:jc w:val="both"/>
      </w:pPr>
      <w:r>
        <w:rPr>
          <w:rFonts w:ascii="Times New Roman" w:cs="Times New Roman" w:eastAsia="Times New Roman" w:hAnsi="Times New Roman"/>
          <w:sz w:val="23"/>
          <w:szCs w:val="23"/>
        </w:rPr>
        <w:t xml:space="preserve">where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 Beta(</w:t>
      </w:r>
      <w:r>
        <w:rPr>
          <w:rFonts w:ascii="Times New Roman" w:cs="Times New Roman" w:eastAsia="Times New Roman" w:hAnsi="Times New Roman"/>
          <w:i/>
          <w:iCs/>
          <w:sz w:val="23"/>
          <w:szCs w:val="23"/>
        </w:rPr>
        <w:t xml:space="preserve">a</w:t>
      </w:r>
      <w:r>
        <w:rPr>
          <w:rFonts w:ascii="Times New Roman" w:cs="Times New Roman" w:eastAsia="Times New Roman" w:hAnsi="Times New Roman"/>
          <w:sz w:val="23"/>
          <w:szCs w:val="23"/>
        </w:rPr>
        <w:t xml:space="preserve">, </w:t>
      </w:r>
      <w:r>
        <w:rPr>
          <w:rFonts w:ascii="Times New Roman" w:cs="Times New Roman" w:eastAsia="Times New Roman" w:hAnsi="Times New Roman"/>
          <w:i/>
          <w:iCs/>
          <w:sz w:val="23"/>
          <w:szCs w:val="23"/>
        </w:rPr>
        <w:t xml:space="preserve">b</w:t>
      </w:r>
      <w:r>
        <w:rPr>
          <w:rFonts w:ascii="Times New Roman" w:cs="Times New Roman" w:eastAsia="Times New Roman" w:hAnsi="Times New Roman"/>
          <w:sz w:val="23"/>
          <w:szCs w:val="23"/>
        </w:rPr>
        <w:t xml:space="preserve">), </w:t>
      </w:r>
      <w:r>
        <w:rPr>
          <w:rFonts w:ascii="Times New Roman" w:cs="Times New Roman" w:eastAsia="Times New Roman" w:hAnsi="Times New Roman"/>
          <w:i/>
          <w:iCs/>
          <w:sz w:val="23"/>
          <w:szCs w:val="23"/>
        </w:rPr>
        <w:t xml:space="preserve">E</w:t>
      </w:r>
      <w:r>
        <w:rPr>
          <w:rFonts w:ascii="Times New Roman" w:cs="Times New Roman" w:eastAsia="Times New Roman" w:hAnsi="Times New Roman"/>
          <w:sz w:val="23"/>
          <w:szCs w:val="23"/>
        </w:rPr>
        <w:t xml:space="preserve"> is expectation over pairs, and </w:t>
      </w:r>
      <w:r>
        <w:rPr>
          <w:rFonts w:ascii="Times New Roman" w:cs="Times New Roman" w:eastAsia="Times New Roman" w:hAnsi="Times New Roman"/>
          <w:i/>
          <w:iCs/>
          <w:sz w:val="23"/>
          <w:szCs w:val="23"/>
        </w:rPr>
        <w:t xml:space="preserve">B</w:t>
      </w:r>
      <w:r>
        <w:rPr>
          <w:rFonts w:ascii="Times New Roman" w:cs="Times New Roman" w:eastAsia="Times New Roman" w:hAnsi="Times New Roman"/>
          <w:sz w:val="23"/>
          <w:szCs w:val="23"/>
        </w:rPr>
        <w:t xml:space="preserve"> is the Beta function. Second, let the per-interaction probability within one dyad decline with repetition, p</w:t>
      </w:r>
      <w:r>
        <w:rPr>
          <w:rFonts w:ascii="Times New Roman" w:cs="Times New Roman" w:eastAsia="Times New Roman" w:hAnsi="Times New Roman"/>
          <w:sz w:val="23"/>
          <w:szCs w:val="23"/>
          <w:vertAlign w:val="subscript"/>
        </w:rPr>
        <w:t xml:space="preserve">t</w:t>
      </w:r>
      <w:r>
        <w:rPr>
          <w:rFonts w:ascii="Times New Roman" w:cs="Times New Roman" w:eastAsia="Times New Roman" w:hAnsi="Times New Roman"/>
          <w:sz w:val="23"/>
          <w:szCs w:val="23"/>
        </w:rPr>
        <w:t xml:space="preserve"> = p</w:t>
      </w:r>
      <w:r>
        <w:rPr>
          <w:rFonts w:ascii="Times New Roman" w:cs="Times New Roman" w:eastAsia="Times New Roman" w:hAnsi="Times New Roman"/>
          <w:sz w:val="23"/>
          <w:szCs w:val="23"/>
          <w:vertAlign w:val="subscript"/>
        </w:rPr>
        <w:t xml:space="preserve">0</w:t>
      </w:r>
      <w:r>
        <w:rPr>
          <w:rFonts w:ascii="Times New Roman" w:cs="Times New Roman" w:eastAsia="Times New Roman" w:hAnsi="Times New Roman"/>
          <w:sz w:val="23"/>
          <w:szCs w:val="23"/>
        </w:rPr>
        <w:t xml:space="preserve">δ</w:t>
      </w:r>
      <w:r>
        <w:rPr>
          <w:rFonts w:ascii="Times New Roman" w:cs="Times New Roman" w:eastAsia="Times New Roman" w:hAnsi="Times New Roman"/>
          <w:sz w:val="23"/>
          <w:szCs w:val="23"/>
          <w:vertAlign w:val="superscript"/>
        </w:rPr>
        <w:t xml:space="preserve">t−1</w:t>
      </w:r>
      <w:r>
        <w:rPr>
          <w:rFonts w:ascii="Times New Roman" w:cs="Times New Roman" w:eastAsia="Times New Roman" w:hAnsi="Times New Roman"/>
          <w:sz w:val="23"/>
          <w:szCs w:val="23"/>
        </w:rPr>
        <w:t xml:space="preserve">, with p</w:t>
      </w:r>
      <w:r>
        <w:rPr>
          <w:rFonts w:ascii="Times New Roman" w:cs="Times New Roman" w:eastAsia="Times New Roman" w:hAnsi="Times New Roman"/>
          <w:sz w:val="23"/>
          <w:szCs w:val="23"/>
          <w:vertAlign w:val="subscript"/>
        </w:rPr>
        <w:t xml:space="preserve">0</w:t>
      </w:r>
      <w:r>
        <w:rPr>
          <w:rFonts w:ascii="Times New Roman" w:cs="Times New Roman" w:eastAsia="Times New Roman" w:hAnsi="Times New Roman"/>
          <w:sz w:val="23"/>
          <w:szCs w:val="23"/>
        </w:rPr>
        <w:t xml:space="preserve"> = 0.10 and decay factor δ = 0.85:</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P(n) = 1 − ∏</w:t>
      </w:r>
      <w:r>
        <w:rPr>
          <w:rFonts w:ascii="Times New Roman" w:cs="Times New Roman" w:eastAsia="Times New Roman" w:hAnsi="Times New Roman"/>
          <w:sz w:val="24"/>
          <w:szCs w:val="24"/>
          <w:vertAlign w:val="subscript"/>
        </w:rPr>
        <w:t xml:space="preserve">t=1</w:t>
      </w:r>
      <w:r>
        <w:rPr>
          <w:rFonts w:ascii="Times New Roman" w:cs="Times New Roman" w:eastAsia="Times New Roman" w:hAnsi="Times New Roman"/>
          <w:sz w:val="24"/>
          <w:szCs w:val="24"/>
          <w:vertAlign w:val="superscript"/>
        </w:rPr>
        <w:t xml:space="preserve">n</w:t>
      </w:r>
      <w:r>
        <w:rPr>
          <w:rFonts w:ascii="Times New Roman" w:cs="Times New Roman" w:eastAsia="Times New Roman" w:hAnsi="Times New Roman"/>
          <w:sz w:val="24"/>
          <w:szCs w:val="24"/>
        </w:rPr>
        <w:t xml:space="preserve"> (1 − p</w:t>
      </w:r>
      <w:r>
        <w:rPr>
          <w:rFonts w:ascii="Times New Roman" w:cs="Times New Roman" w:eastAsia="Times New Roman" w:hAnsi="Times New Roman"/>
          <w:sz w:val="24"/>
          <w:szCs w:val="24"/>
          <w:vertAlign w:val="subscript"/>
        </w:rPr>
        <w:t xml:space="preserve">t</w:t>
      </w:r>
      <w:r>
        <w:rPr>
          <w:rFonts w:ascii="Times New Roman" w:cs="Times New Roman" w:eastAsia="Times New Roman" w:hAnsi="Times New Roman"/>
          <w:sz w:val="24"/>
          <w:szCs w:val="24"/>
        </w:rPr>
        <w:t xml:space="preserve">)</w:t>
      </w:r>
      <w:r>
        <w:rPr>
          <w:rFonts w:ascii="Times New Roman" w:cs="Times New Roman" w:eastAsia="Times New Roman" w:hAnsi="Times New Roman"/>
          <w:sz w:val="21"/>
          <w:szCs w:val="21"/>
        </w:rPr>
        <w:t xml:space="preserve">	(3)</w:t>
      </w:r>
    </w:p>
    <w:p>
      <w:pPr>
        <w:keepNext/>
        <w:spacing w:after="80" w:before="200"/>
      </w:pPr>
      <w:r>
        <w:rPr>
          <w:rFonts w:ascii="Arial" w:cs="Arial" w:eastAsia="Arial" w:hAnsi="Arial"/>
          <w:b/>
          <w:bCs/>
          <w:color w:val="33465C"/>
          <w:sz w:val="17"/>
          <w:szCs w:val="17"/>
        </w:rPr>
        <w:t xml:space="preserve">Table 1.</w:t>
      </w:r>
      <w:r>
        <w:rPr>
          <w:rFonts w:ascii="Arial" w:cs="Arial" w:eastAsia="Arial" w:hAnsi="Arial"/>
          <w:color w:val="33465C"/>
          <w:sz w:val="17"/>
          <w:szCs w:val="17"/>
        </w:rPr>
        <w:t xml:space="preserve"> Probability of at least one positive outcome after n interactions under four assumptions (illustrative parameters computed in code; per-interaction probability 0.10 on average at the first interaction in every column).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cantSplit/>
          <w:tblHeader/>
        </w:trPr>
        <w:tc>
          <w:tcPr>
            <w:tcW w:type="dxa" w:w="187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n</w:t>
            </w:r>
          </w:p>
        </w:tc>
        <w:tc>
          <w:tcPr>
            <w:tcW w:type="dxa" w:w="187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Constant p (Eq. 1)</w:t>
            </w:r>
          </w:p>
        </w:tc>
        <w:tc>
          <w:tcPr>
            <w:tcW w:type="dxa" w:w="187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 ~ Beta(5, 45)</w:t>
            </w:r>
          </w:p>
        </w:tc>
        <w:tc>
          <w:tcPr>
            <w:tcW w:type="dxa" w:w="187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 ~ Beta(0.5, 4.5)</w:t>
            </w:r>
          </w:p>
        </w:tc>
        <w:tc>
          <w:tcPr>
            <w:tcW w:type="dxa" w:w="187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Declining p</w:t>
            </w:r>
            <w:r>
              <w:rPr>
                <w:rFonts w:ascii="Arial" w:cs="Arial" w:eastAsia="Arial" w:hAnsi="Arial"/>
                <w:b/>
                <w:bCs/>
                <w:color w:val="FFFFFF"/>
                <w:sz w:val="16"/>
                <w:szCs w:val="16"/>
                <w:vertAlign w:val="subscript"/>
              </w:rPr>
              <w:t xml:space="preserve">t</w:t>
            </w:r>
            <w:r>
              <w:rPr>
                <w:rFonts w:ascii="Arial" w:cs="Arial" w:eastAsia="Arial" w:hAnsi="Arial"/>
                <w:b/>
                <w:bCs/>
                <w:color w:val="FFFFFF"/>
                <w:sz w:val="16"/>
                <w:szCs w:val="16"/>
              </w:rPr>
              <w:t xml:space="preserve"> (Eq. 3)</w:t>
            </w:r>
          </w:p>
        </w:tc>
      </w:tr>
      <w:tr>
        <w:trPr>
          <w:cantSplit/>
          <w:tblHeader w:val="off"/>
        </w:trPr>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1</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0.100</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0.100</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0.100</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0.100</w:t>
            </w:r>
          </w:p>
        </w:tc>
      </w:tr>
      <w:tr>
        <w:trPr>
          <w:cantSplit/>
          <w:tblHeader w:val="off"/>
        </w:trPr>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5</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0.410</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0.397</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0.322</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0.320</w:t>
            </w:r>
          </w:p>
        </w:tc>
      </w:tr>
      <w:tr>
        <w:trPr>
          <w:cantSplit/>
          <w:tblHeader w:val="off"/>
        </w:trPr>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10</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0.651</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0.619</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0.453</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0.425</w:t>
            </w:r>
          </w:p>
        </w:tc>
      </w:tr>
      <w:tr>
        <w:trPr>
          <w:cantSplit/>
          <w:tblHeader w:val="off"/>
        </w:trPr>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20</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0.878</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0.830</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0.581</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0.483</w:t>
            </w:r>
          </w:p>
        </w:tc>
      </w:tr>
      <w:tr>
        <w:trPr>
          <w:cantSplit/>
          <w:tblHeader w:val="off"/>
        </w:trPr>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40</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0.985</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0.954</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0.690</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0.496</w:t>
            </w:r>
          </w:p>
        </w:tc>
      </w:tr>
    </w:tbl>
    <w:p>
      <w:pPr>
        <w:spacing w:after="200"/>
      </w:pPr>
    </w:p>
    <w:p>
      <w:pPr>
        <w:spacing w:after="150" w:line="292"/>
        <w:jc w:val="both"/>
      </w:pPr>
      <w:r>
        <w:rPr>
          <w:rFonts w:ascii="Times New Roman" w:cs="Times New Roman" w:eastAsia="Times New Roman" w:hAnsi="Times New Roman"/>
          <w:sz w:val="23"/>
          <w:szCs w:val="23"/>
        </w:rPr>
        <w:t xml:space="preserve">With modest heterogeneity, Equation (1) is close to the heterogeneous result. With strong heterogeneity (Beta(0.5, 4.5), where many pairs have near-zero probability and a few high probability), it overstates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(20) by about 0.30. Under decay, the infinite product in Equation (3) converges, so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w:t>
      </w:r>
      <w:r>
        <w:rPr>
          <w:rFonts w:ascii="Times New Roman" w:cs="Times New Roman" w:eastAsia="Times New Roman" w:hAnsi="Times New Roman"/>
          <w:i/>
          <w:iCs/>
          <w:sz w:val="23"/>
          <w:szCs w:val="23"/>
        </w:rPr>
        <w:t xml:space="preserve">n</w:t>
      </w:r>
      <w:r>
        <w:rPr>
          <w:rFonts w:ascii="Times New Roman" w:cs="Times New Roman" w:eastAsia="Times New Roman" w:hAnsi="Times New Roman"/>
          <w:sz w:val="23"/>
          <w:szCs w:val="23"/>
        </w:rPr>
        <w:t xml:space="preserve">) never exceeds 0.496 however many interactions occur; at </w:t>
      </w:r>
      <w:r>
        <w:rPr>
          <w:rFonts w:ascii="Times New Roman" w:cs="Times New Roman" w:eastAsia="Times New Roman" w:hAnsi="Times New Roman"/>
          <w:i/>
          <w:iCs/>
          <w:sz w:val="23"/>
          <w:szCs w:val="23"/>
        </w:rPr>
        <w:t xml:space="preserve">n</w:t>
      </w:r>
      <w:r>
        <w:rPr>
          <w:rFonts w:ascii="Times New Roman" w:cs="Times New Roman" w:eastAsia="Times New Roman" w:hAnsi="Times New Roman"/>
          <w:sz w:val="23"/>
          <w:szCs w:val="23"/>
        </w:rPr>
        <w:t xml:space="preserve"> = 40 Equation (1) gives 0.985, roughly double. The conclusion does not depend on the particular numbers: whenever per-interaction probabilities vary across pairs or fall with repetition, Equation (1) overstates cumulative probability, increasingly so as </w:t>
      </w:r>
      <w:r>
        <w:rPr>
          <w:rFonts w:ascii="Times New Roman" w:cs="Times New Roman" w:eastAsia="Times New Roman" w:hAnsi="Times New Roman"/>
          <w:i/>
          <w:iCs/>
          <w:sz w:val="23"/>
          <w:szCs w:val="23"/>
        </w:rPr>
        <w:t xml:space="preserve">n</w:t>
      </w:r>
      <w:r>
        <w:rPr>
          <w:rFonts w:ascii="Times New Roman" w:cs="Times New Roman" w:eastAsia="Times New Roman" w:hAnsi="Times New Roman"/>
          <w:sz w:val="23"/>
          <w:szCs w:val="23"/>
        </w:rPr>
        <w:t xml:space="preserve"> grows.</w:t>
      </w:r>
    </w:p>
    <w:p>
      <w:pPr>
        <w:pStyle w:val="Heading2"/>
        <w:keepNext/>
        <w:spacing w:after="100" w:before="240"/>
      </w:pPr>
      <w:r>
        <w:rPr>
          <w:rFonts w:ascii="Times New Roman" w:cs="Times New Roman" w:eastAsia="Times New Roman" w:hAnsi="Times New Roman"/>
          <w:b/>
          <w:bCs/>
          <w:color w:val="1F3A5F"/>
          <w:sz w:val="24"/>
          <w:szCs w:val="24"/>
        </w:rPr>
        <w:t xml:space="preserve">3.5 Repetition, contact and timing</w:t>
      </w:r>
    </w:p>
    <w:p>
      <w:pPr>
        <w:spacing w:after="150" w:line="292"/>
        <w:jc w:val="both"/>
      </w:pPr>
      <w:r>
        <w:rPr>
          <w:rFonts w:ascii="Times New Roman" w:cs="Times New Roman" w:eastAsia="Times New Roman" w:hAnsi="Times New Roman"/>
          <w:sz w:val="23"/>
          <w:szCs w:val="23"/>
        </w:rPr>
        <w:t xml:space="preserve">A common elaboration holds that more interaction raises cumulative probability while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stays positive, but that once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falls to zero further contact becomes counterproductive, explaining why excessive messaging or persistent pursuit fails. The argument is internally inconsistent. Under Equation (1), if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 0 then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stays constant as </w:t>
      </w:r>
      <w:r>
        <w:rPr>
          <w:rFonts w:ascii="Times New Roman" w:cs="Times New Roman" w:eastAsia="Times New Roman" w:hAnsi="Times New Roman"/>
          <w:i/>
          <w:iCs/>
          <w:sz w:val="23"/>
          <w:szCs w:val="23"/>
        </w:rPr>
        <w:t xml:space="preserve">n</w:t>
      </w:r>
      <w:r>
        <w:rPr>
          <w:rFonts w:ascii="Times New Roman" w:cs="Times New Roman" w:eastAsia="Times New Roman" w:hAnsi="Times New Roman"/>
          <w:sz w:val="23"/>
          <w:szCs w:val="23"/>
        </w:rPr>
        <w:t xml:space="preserve"> grows; it cannot fall. Counterproductive contact requires </w:t>
      </w:r>
      <w:r>
        <w:rPr>
          <w:rFonts w:ascii="Times New Roman" w:cs="Times New Roman" w:eastAsia="Times New Roman" w:hAnsi="Times New Roman"/>
          <w:i/>
          <w:iCs/>
          <w:sz w:val="23"/>
          <w:szCs w:val="23"/>
        </w:rPr>
        <w:t xml:space="preserve">p</w:t>
      </w:r>
      <w:r>
        <w:rPr>
          <w:rFonts w:ascii="Times New Roman" w:cs="Times New Roman" w:eastAsia="Times New Roman" w:hAnsi="Times New Roman"/>
          <w:sz w:val="23"/>
          <w:szCs w:val="23"/>
        </w:rPr>
        <w:t xml:space="preserve"> to depend on the history of interaction, which Equation (1) excludes. The intuition needs a model with feedback (Section 5).</w:t>
      </w:r>
    </w:p>
    <w:p>
      <w:pPr>
        <w:spacing w:after="150" w:line="292"/>
        <w:jc w:val="both"/>
      </w:pPr>
      <w:r>
        <w:rPr>
          <w:rFonts w:ascii="Times New Roman" w:cs="Times New Roman" w:eastAsia="Times New Roman" w:hAnsi="Times New Roman"/>
          <w:sz w:val="23"/>
          <w:szCs w:val="23"/>
        </w:rPr>
        <w:t xml:space="preserve">Whether more exposure increases liking is itself nuanced. Mere exposure reliably increases liking on average, with boundary conditions including the number and duration of exposures and the type of stimulus (Bornstein, 1989). For people, Norton et al. (2007) reported that learning more about someone tended on average to reduce liking as dissimilarities emerged, while Reis et al. (2011) reported that greater familiarity through live interaction increased attraction. The contact-attraction relationship is </w:t>
      </w:r>
      <w:r>
        <w:rPr>
          <w:rFonts w:ascii="Times New Roman" w:cs="Times New Roman" w:eastAsia="Times New Roman" w:hAnsi="Times New Roman"/>
          <w:b/>
          <w:bCs/>
          <w:sz w:val="23"/>
          <w:szCs w:val="23"/>
        </w:rPr>
        <w:t xml:space="preserve">Contested</w:t>
      </w:r>
      <w:r>
        <w:rPr>
          <w:rFonts w:ascii="Times New Roman" w:cs="Times New Roman" w:eastAsia="Times New Roman" w:hAnsi="Times New Roman"/>
          <w:sz w:val="23"/>
          <w:szCs w:val="23"/>
        </w:rPr>
        <w:t xml:space="preserve"> and likely depends on what contact reveals.</w:t>
      </w:r>
    </w:p>
    <w:p>
      <w:pPr>
        <w:spacing w:after="150" w:line="292"/>
        <w:jc w:val="both"/>
      </w:pPr>
      <w:r>
        <w:rPr>
          <w:rFonts w:ascii="Times New Roman" w:cs="Times New Roman" w:eastAsia="Times New Roman" w:hAnsi="Times New Roman"/>
          <w:sz w:val="23"/>
          <w:szCs w:val="23"/>
        </w:rPr>
        <w:t xml:space="preserve">Timing heuristics (infrequent contact loses momentum, frequent contact lowers perceived value, strategic spacing raises interest) are rarely accompanied by evidence. In one experiment, women viewing profiles of men whose interest was uncertain were more attracted, and thought about the men more, than when the men's interest was known to be high (Whitchurch et al., 2011). This single study, in a profile-viewing paradigm with one gender configuration, does not test message spacing and concerns a short-lived state rather than a relationship outcome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for the uncertainty effect;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 for timing heuristics). Such heuristics are also framed as tactics for steering another person's feelings, which the Institute does not pursue (Section 10); they appear here only as hypotheses for ethically constrained tests (Section 12).</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4. Composite indices and trajectory typologies</w:t>
      </w:r>
    </w:p>
    <w:p>
      <w:pPr>
        <w:pStyle w:val="Heading2"/>
        <w:keepNext/>
        <w:spacing w:after="100" w:before="240"/>
      </w:pPr>
      <w:r>
        <w:rPr>
          <w:rFonts w:ascii="Times New Roman" w:cs="Times New Roman" w:eastAsia="Times New Roman" w:hAnsi="Times New Roman"/>
          <w:b/>
          <w:bCs/>
          <w:color w:val="1F3A5F"/>
          <w:sz w:val="24"/>
          <w:szCs w:val="24"/>
        </w:rPr>
        <w:t xml:space="preserve">4.1 Composite indices as measurement problems</w:t>
      </w:r>
    </w:p>
    <w:p>
      <w:pPr>
        <w:spacing w:after="150" w:line="292"/>
        <w:jc w:val="both"/>
      </w:pPr>
      <w:r>
        <w:rPr>
          <w:rFonts w:ascii="Times New Roman" w:cs="Times New Roman" w:eastAsia="Times New Roman" w:hAnsi="Times New Roman"/>
          <w:sz w:val="23"/>
          <w:szCs w:val="23"/>
        </w:rPr>
        <w:t xml:space="preserve">A tempting step is to define composite indices, such as "attraction potential", "emotional responsiveness", "stability projection" or "collapse vulnerability", score each from 0 to 1, and combine them into a forecast. Any such index must first meet ordinary measurement standards: items, scoring rules, reliability and validation data. Construct validity requires a theory linking the construct to observable indicators and to other constructs, and evidence that the measure behaves as predicted (Cronbach &amp; Meehl, 1955). Many published measures lack such evidence, and undisclosed measurement choices are a major source of unreliable findings (Flake &amp; Fried, 2020).</w:t>
      </w:r>
    </w:p>
    <w:p>
      <w:pPr>
        <w:spacing w:after="150" w:line="292"/>
        <w:jc w:val="both"/>
      </w:pPr>
      <w:r>
        <w:rPr>
          <w:rFonts w:ascii="Times New Roman" w:cs="Times New Roman" w:eastAsia="Times New Roman" w:hAnsi="Times New Roman"/>
          <w:sz w:val="23"/>
          <w:szCs w:val="23"/>
        </w:rPr>
        <w:t xml:space="preserve">Such indices have specific problems. An index of "collapse vulnerability" is defined by the outcome it predicts and is circular unless measured strictly beforehand. Constructs such as "microexpression chemistry" have no operational definition. Trauma history is sensitive clinical information that a relationship model should not score. Rescaling disparate quantities to 0 to 1 does not make them commensurable. Where constructs overlap with established ones (commitment, attachment, responsiveness), incremental validity must be shown, and Section 2.4 suggests that well-measured relationship perceptions already capture much of what self-report offers (Joel et al., 2020). If an index is ever built from valid components, equal weighting is a sensible default that resists overfitting (Dawes, 1979). And once a score becomes a target, behavior changes in ways that can destroy its meaning, a general form of Goodhart's law (Strathern, 1997) (Section 6.8).</w:t>
      </w:r>
    </w:p>
    <w:p>
      <w:pPr>
        <w:pStyle w:val="Heading2"/>
        <w:keepNext/>
        <w:spacing w:after="100" w:before="240"/>
      </w:pPr>
      <w:r>
        <w:rPr>
          <w:rFonts w:ascii="Times New Roman" w:cs="Times New Roman" w:eastAsia="Times New Roman" w:hAnsi="Times New Roman"/>
          <w:b/>
          <w:bCs/>
          <w:color w:val="1F3A5F"/>
          <w:sz w:val="24"/>
          <w:szCs w:val="24"/>
        </w:rPr>
        <w:t xml:space="preserve">4.2 Attachment</w:t>
      </w:r>
    </w:p>
    <w:p>
      <w:pPr>
        <w:spacing w:after="150" w:line="292"/>
        <w:jc w:val="both"/>
      </w:pPr>
      <w:r>
        <w:rPr>
          <w:rFonts w:ascii="Times New Roman" w:cs="Times New Roman" w:eastAsia="Times New Roman" w:hAnsi="Times New Roman"/>
          <w:sz w:val="23"/>
          <w:szCs w:val="23"/>
        </w:rPr>
        <w:t xml:space="preserve">Applied accounts often assign fixed profiles to "secure", "avoidant" and "anxious" individuals. Hazan and Shaver (1987) showed that adults' romantic experiences could be organized in attachment terms, but later work generally measures adult attachment on two continuous dimensions (anxiety and avoidance) and finds attachment security only moderately stable over long periods (Fraley, 2002). Attachment orientations also vary across relationships and change with experience. Assigning types and matching score profiles discards this information and invites stereotyping. In this framework, attachment dimensions are candidate covariates whose contribution must be estimated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 for fixed type-to-profile mappings).</w:t>
      </w:r>
    </w:p>
    <w:p>
      <w:pPr>
        <w:pStyle w:val="Heading2"/>
        <w:keepNext/>
        <w:spacing w:after="100" w:before="240"/>
      </w:pPr>
      <w:r>
        <w:rPr>
          <w:rFonts w:ascii="Times New Roman" w:cs="Times New Roman" w:eastAsia="Times New Roman" w:hAnsi="Times New Roman"/>
          <w:b/>
          <w:bCs/>
          <w:color w:val="1F3A5F"/>
          <w:sz w:val="24"/>
          <w:szCs w:val="24"/>
        </w:rPr>
        <w:t xml:space="preserve">4.3 Named trajectory curves</w:t>
      </w:r>
    </w:p>
    <w:p>
      <w:pPr>
        <w:spacing w:after="150" w:line="292"/>
        <w:jc w:val="both"/>
      </w:pPr>
      <w:r>
        <w:rPr>
          <w:rFonts w:ascii="Times New Roman" w:cs="Times New Roman" w:eastAsia="Times New Roman" w:hAnsi="Times New Roman"/>
          <w:sz w:val="23"/>
          <w:szCs w:val="23"/>
        </w:rPr>
        <w:t xml:space="preserve">Relationships are often described as following a few named curves, such as steady ascent, rapid rise then volatility, push-and-pull oscillation, or erratic change. Whether trajectories fall into discrete classes is an empirical question with treacherous methods. Group-based trajectory models approximate continuous variation with a finite number of groups, best understood as approximations rather than literal types (Nagin, 1999), and growth mixture models can extract spurious classes from merely non-normal data (Bauer &amp; Curran, 2003). Such typologies are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 A defensible test would pre-register class enumeration, compare discrete and continuous models on held-out data, and require independent replication (Section 12).</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5. Candidate model classes</w:t>
      </w:r>
    </w:p>
    <w:p>
      <w:pPr>
        <w:spacing w:after="150" w:line="292"/>
        <w:jc w:val="both"/>
      </w:pPr>
      <w:r>
        <w:rPr>
          <w:rFonts w:ascii="Times New Roman" w:cs="Times New Roman" w:eastAsia="Times New Roman" w:hAnsi="Times New Roman"/>
          <w:sz w:val="23"/>
          <w:szCs w:val="23"/>
        </w:rPr>
        <w:t xml:space="preserve">The following standard model classes match the structure of romantic interaction better than Equation (1). For each, the paper states the question it addresses, what it assumes, and how uncertainty should be reported. All numerical examples are illustrative, computed in code, and are not estimates of real-world quantities.</w:t>
      </w:r>
    </w:p>
    <w:p>
      <w:pPr>
        <w:pStyle w:val="Heading2"/>
        <w:keepNext/>
        <w:spacing w:after="100" w:before="240"/>
      </w:pPr>
      <w:r>
        <w:rPr>
          <w:rFonts w:ascii="Times New Roman" w:cs="Times New Roman" w:eastAsia="Times New Roman" w:hAnsi="Times New Roman"/>
          <w:b/>
          <w:bCs/>
          <w:color w:val="1F3A5F"/>
          <w:sz w:val="24"/>
          <w:szCs w:val="24"/>
        </w:rPr>
        <w:t xml:space="preserve">5.1 Discrete-time Markov chains with absorbing states</w:t>
      </w:r>
    </w:p>
    <w:p>
      <w:pPr>
        <w:spacing w:after="150" w:line="292"/>
        <w:jc w:val="both"/>
      </w:pPr>
      <w:r>
        <w:rPr>
          <w:rFonts w:ascii="Times New Roman" w:cs="Times New Roman" w:eastAsia="Times New Roman" w:hAnsi="Times New Roman"/>
          <w:sz w:val="23"/>
          <w:szCs w:val="23"/>
        </w:rPr>
        <w:t xml:space="preserve">A discrete-time Markov chain occupies one of a finite set of states at each step and moves between them with fixed probabilities that depend only on the current state (Norris, 1997). With π</w:t>
      </w:r>
      <w:r>
        <w:rPr>
          <w:rFonts w:ascii="Times New Roman" w:cs="Times New Roman" w:eastAsia="Times New Roman" w:hAnsi="Times New Roman"/>
          <w:sz w:val="23"/>
          <w:szCs w:val="23"/>
          <w:vertAlign w:val="subscript"/>
        </w:rPr>
        <w:t xml:space="preserve">t</w:t>
      </w:r>
      <w:r>
        <w:rPr>
          <w:rFonts w:ascii="Times New Roman" w:cs="Times New Roman" w:eastAsia="Times New Roman" w:hAnsi="Times New Roman"/>
          <w:sz w:val="23"/>
          <w:szCs w:val="23"/>
        </w:rPr>
        <w:t xml:space="preserve"> the row vector of state probabilities at step t and P the transition matrix,</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π</w:t>
      </w:r>
      <w:r>
        <w:rPr>
          <w:rFonts w:ascii="Times New Roman" w:cs="Times New Roman" w:eastAsia="Times New Roman" w:hAnsi="Times New Roman"/>
          <w:sz w:val="24"/>
          <w:szCs w:val="24"/>
          <w:vertAlign w:val="subscript"/>
        </w:rPr>
        <w:t xml:space="preserve">t+1</w:t>
      </w:r>
      <w:r>
        <w:rPr>
          <w:rFonts w:ascii="Times New Roman" w:cs="Times New Roman" w:eastAsia="Times New Roman" w:hAnsi="Times New Roman"/>
          <w:sz w:val="24"/>
          <w:szCs w:val="24"/>
        </w:rPr>
        <w:t xml:space="preserve"> = π</w:t>
      </w:r>
      <w:r>
        <w:rPr>
          <w:rFonts w:ascii="Times New Roman" w:cs="Times New Roman" w:eastAsia="Times New Roman" w:hAnsi="Times New Roman"/>
          <w:sz w:val="24"/>
          <w:szCs w:val="24"/>
          <w:vertAlign w:val="subscript"/>
        </w:rPr>
        <w:t xml:space="preserve">t</w:t>
      </w:r>
      <w:r>
        <w:rPr>
          <w:rFonts w:ascii="Times New Roman" w:cs="Times New Roman" w:eastAsia="Times New Roman" w:hAnsi="Times New Roman"/>
          <w:sz w:val="24"/>
          <w:szCs w:val="24"/>
        </w:rPr>
        <w:t xml:space="preserve">P</w:t>
      </w:r>
      <w:r>
        <w:rPr>
          <w:rFonts w:ascii="Times New Roman" w:cs="Times New Roman" w:eastAsia="Times New Roman" w:hAnsi="Times New Roman"/>
          <w:sz w:val="21"/>
          <w:szCs w:val="21"/>
        </w:rPr>
        <w:t xml:space="preserve">	(4)</w:t>
      </w:r>
    </w:p>
    <w:p>
      <w:pPr>
        <w:spacing w:after="150" w:line="292"/>
        <w:jc w:val="both"/>
      </w:pPr>
      <w:r>
        <w:rPr>
          <w:rFonts w:ascii="Times New Roman" w:cs="Times New Roman" w:eastAsia="Times New Roman" w:hAnsi="Times New Roman"/>
          <w:sz w:val="23"/>
          <w:szCs w:val="23"/>
        </w:rPr>
        <w:t xml:space="preserve">where P</w:t>
      </w:r>
      <w:r>
        <w:rPr>
          <w:rFonts w:ascii="Times New Roman" w:cs="Times New Roman" w:eastAsia="Times New Roman" w:hAnsi="Times New Roman"/>
          <w:sz w:val="23"/>
          <w:szCs w:val="23"/>
          <w:vertAlign w:val="subscript"/>
        </w:rPr>
        <w:t xml:space="preserve">ij</w:t>
      </w:r>
      <w:r>
        <w:rPr>
          <w:rFonts w:ascii="Times New Roman" w:cs="Times New Roman" w:eastAsia="Times New Roman" w:hAnsi="Times New Roman"/>
          <w:sz w:val="23"/>
          <w:szCs w:val="23"/>
        </w:rPr>
        <w:t xml:space="preserve"> is the probability of moving from state i to state j and each row sums to 1. An </w:t>
      </w:r>
      <w:r>
        <w:rPr>
          <w:rFonts w:ascii="Times New Roman" w:cs="Times New Roman" w:eastAsia="Times New Roman" w:hAnsi="Times New Roman"/>
          <w:i/>
          <w:iCs/>
          <w:sz w:val="23"/>
          <w:szCs w:val="23"/>
        </w:rPr>
        <w:t xml:space="preserve">absorbing</w:t>
      </w:r>
      <w:r>
        <w:rPr>
          <w:rFonts w:ascii="Times New Roman" w:cs="Times New Roman" w:eastAsia="Times New Roman" w:hAnsi="Times New Roman"/>
          <w:sz w:val="23"/>
          <w:szCs w:val="23"/>
        </w:rPr>
        <w:t xml:space="preserve"> state, once entered, is never left. Partitioning P into Q (transitions among transient states) and R (transient to absorbing), the </w:t>
      </w:r>
      <w:r>
        <w:rPr>
          <w:rFonts w:ascii="Times New Roman" w:cs="Times New Roman" w:eastAsia="Times New Roman" w:hAnsi="Times New Roman"/>
          <w:i/>
          <w:iCs/>
          <w:sz w:val="23"/>
          <w:szCs w:val="23"/>
        </w:rPr>
        <w:t xml:space="preserve">fundamental matrix</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N = (I − Q)</w:t>
      </w:r>
      <w:r>
        <w:rPr>
          <w:rFonts w:ascii="Times New Roman" w:cs="Times New Roman" w:eastAsia="Times New Roman" w:hAnsi="Times New Roman"/>
          <w:sz w:val="24"/>
          <w:szCs w:val="24"/>
          <w:vertAlign w:val="superscript"/>
        </w:rPr>
        <w:t xml:space="preserve">−1</w:t>
      </w:r>
      <w:r>
        <w:rPr>
          <w:rFonts w:ascii="Times New Roman" w:cs="Times New Roman" w:eastAsia="Times New Roman" w:hAnsi="Times New Roman"/>
          <w:sz w:val="21"/>
          <w:szCs w:val="21"/>
        </w:rPr>
        <w:t xml:space="preserve">	(5)</w:t>
      </w:r>
    </w:p>
    <w:p>
      <w:pPr>
        <w:spacing w:after="150" w:line="292"/>
        <w:jc w:val="both"/>
      </w:pPr>
      <w:r>
        <w:rPr>
          <w:rFonts w:ascii="Times New Roman" w:cs="Times New Roman" w:eastAsia="Times New Roman" w:hAnsi="Times New Roman"/>
          <w:sz w:val="23"/>
          <w:szCs w:val="23"/>
        </w:rPr>
        <w:t xml:space="preserve">gives the expected number of steps in each transient state before absorption, where I is the identity matrix. Absorption probabilities are B = NR, and expected steps to absorption are t = N𝟏, where 𝟏 is a column vector of ones.</w:t>
      </w:r>
    </w:p>
    <w:p>
      <w:pPr>
        <w:spacing w:after="150" w:line="292"/>
        <w:jc w:val="both"/>
      </w:pPr>
      <w:r>
        <w:rPr>
          <w:rFonts w:ascii="Times New Roman" w:cs="Times New Roman" w:eastAsia="Times New Roman" w:hAnsi="Times New Roman"/>
          <w:sz w:val="23"/>
          <w:szCs w:val="23"/>
        </w:rPr>
        <w:t xml:space="preserve">Consider three transient states, initial contact (I), mutual interest (M) and ongoing relationship (R), and two absorbing states: contact or relationship ended (E), and a pre-specified commitment milestone reached (C), such as both partners reporting a committed relationship at follow-up. Absorption is a design feature: a relationship reaching C can later end, but the model concerns first passage to C or E within the study.</w:t>
      </w:r>
    </w:p>
    <w:p>
      <w:pPr>
        <w:keepNext/>
        <w:spacing w:after="80" w:before="200"/>
      </w:pPr>
      <w:r>
        <w:rPr>
          <w:rFonts w:ascii="Arial" w:cs="Arial" w:eastAsia="Arial" w:hAnsi="Arial"/>
          <w:b/>
          <w:bCs/>
          <w:color w:val="33465C"/>
          <w:sz w:val="17"/>
          <w:szCs w:val="17"/>
        </w:rPr>
        <w:t xml:space="preserve">Table 2.</w:t>
      </w:r>
      <w:r>
        <w:rPr>
          <w:rFonts w:ascii="Arial" w:cs="Arial" w:eastAsia="Arial" w:hAnsi="Arial"/>
          <w:color w:val="33465C"/>
          <w:sz w:val="17"/>
          <w:szCs w:val="17"/>
        </w:rPr>
        <w:t xml:space="preserve"> Illustrative monthly transition matrix (rows: current state; columns: next state). Values are invented for exposition.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52"/>
        <w:gridCol w:w="1381"/>
        <w:gridCol w:w="1381"/>
        <w:gridCol w:w="1381"/>
        <w:gridCol w:w="1381"/>
        <w:gridCol w:w="1384"/>
      </w:tblGrid>
      <w:tr>
        <w:trPr>
          <w:cantSplit/>
          <w:tblHeader/>
        </w:trPr>
        <w:tc>
          <w:tcPr>
            <w:tcW w:type="dxa" w:w="245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From / to</w:t>
            </w:r>
          </w:p>
        </w:tc>
        <w:tc>
          <w:tcPr>
            <w:tcW w:type="dxa" w:w="1381"/>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I</w:t>
            </w:r>
          </w:p>
        </w:tc>
        <w:tc>
          <w:tcPr>
            <w:tcW w:type="dxa" w:w="1381"/>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M</w:t>
            </w:r>
          </w:p>
        </w:tc>
        <w:tc>
          <w:tcPr>
            <w:tcW w:type="dxa" w:w="1381"/>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R</w:t>
            </w:r>
          </w:p>
        </w:tc>
        <w:tc>
          <w:tcPr>
            <w:tcW w:type="dxa" w:w="1381"/>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E</w:t>
            </w:r>
          </w:p>
        </w:tc>
        <w:tc>
          <w:tcPr>
            <w:tcW w:type="dxa" w:w="1384"/>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w:t>
            </w:r>
          </w:p>
        </w:tc>
      </w:tr>
      <w:tr>
        <w:trPr>
          <w:cantSplit/>
          <w:tblHeader w:val="off"/>
        </w:trPr>
        <w:tc>
          <w:tcPr>
            <w:tcW w:type="dxa" w:w="245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Initial contact (I)</w:t>
            </w:r>
          </w:p>
        </w:tc>
        <w:tc>
          <w:tcPr>
            <w:tcW w:type="dxa" w:w="138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0.30</w:t>
            </w:r>
          </w:p>
        </w:tc>
        <w:tc>
          <w:tcPr>
            <w:tcW w:type="dxa" w:w="138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0.25</w:t>
            </w:r>
          </w:p>
        </w:tc>
        <w:tc>
          <w:tcPr>
            <w:tcW w:type="dxa" w:w="138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0.00</w:t>
            </w:r>
          </w:p>
        </w:tc>
        <w:tc>
          <w:tcPr>
            <w:tcW w:type="dxa" w:w="138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0.45</w:t>
            </w:r>
          </w:p>
        </w:tc>
        <w:tc>
          <w:tcPr>
            <w:tcW w:type="dxa" w:w="138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0.00</w:t>
            </w:r>
          </w:p>
        </w:tc>
      </w:tr>
      <w:tr>
        <w:trPr>
          <w:cantSplit/>
          <w:tblHeader w:val="off"/>
        </w:trPr>
        <w:tc>
          <w:tcPr>
            <w:tcW w:type="dxa" w:w="245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Mutual interest (M)</w:t>
            </w:r>
          </w:p>
        </w:tc>
        <w:tc>
          <w:tcPr>
            <w:tcW w:type="dxa" w:w="138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0.05</w:t>
            </w:r>
          </w:p>
        </w:tc>
        <w:tc>
          <w:tcPr>
            <w:tcW w:type="dxa" w:w="138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0.35</w:t>
            </w:r>
          </w:p>
        </w:tc>
        <w:tc>
          <w:tcPr>
            <w:tcW w:type="dxa" w:w="138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0.30</w:t>
            </w:r>
          </w:p>
        </w:tc>
        <w:tc>
          <w:tcPr>
            <w:tcW w:type="dxa" w:w="138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0.30</w:t>
            </w:r>
          </w:p>
        </w:tc>
        <w:tc>
          <w:tcPr>
            <w:tcW w:type="dxa" w:w="138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0.00</w:t>
            </w:r>
          </w:p>
        </w:tc>
      </w:tr>
      <w:tr>
        <w:trPr>
          <w:cantSplit/>
          <w:tblHeader w:val="off"/>
        </w:trPr>
        <w:tc>
          <w:tcPr>
            <w:tcW w:type="dxa" w:w="245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Ongoing relationship (R)</w:t>
            </w:r>
          </w:p>
        </w:tc>
        <w:tc>
          <w:tcPr>
            <w:tcW w:type="dxa" w:w="138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0.00</w:t>
            </w:r>
          </w:p>
        </w:tc>
        <w:tc>
          <w:tcPr>
            <w:tcW w:type="dxa" w:w="138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0.05</w:t>
            </w:r>
          </w:p>
        </w:tc>
        <w:tc>
          <w:tcPr>
            <w:tcW w:type="dxa" w:w="138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0.80</w:t>
            </w:r>
          </w:p>
        </w:tc>
        <w:tc>
          <w:tcPr>
            <w:tcW w:type="dxa" w:w="138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0.08</w:t>
            </w:r>
          </w:p>
        </w:tc>
        <w:tc>
          <w:tcPr>
            <w:tcW w:type="dxa" w:w="138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0.07</w:t>
            </w:r>
          </w:p>
        </w:tc>
      </w:tr>
    </w:tbl>
    <w:p>
      <w:pPr>
        <w:spacing w:after="200"/>
      </w:pPr>
    </w:p>
    <w:p>
      <w:pPr>
        <w:spacing w:after="150" w:line="292"/>
        <w:jc w:val="both"/>
      </w:pPr>
      <w:r>
        <w:rPr>
          <w:rFonts w:ascii="Times New Roman" w:cs="Times New Roman" w:eastAsia="Times New Roman" w:hAnsi="Times New Roman"/>
          <w:sz w:val="23"/>
          <w:szCs w:val="23"/>
        </w:rPr>
        <w:t xml:space="preserve">From initial contact, Equation (5) and B = NR give a probability of 0.067 of reaching C and 0.933 of reaching E, with an expected 3.08 months to absorption. From mutual interest the probability of reaching C is 0.188 (4.62 months), and from an ongoing relationship 0.397 (6.15 months).</w:t>
      </w:r>
    </w:p>
    <w:p>
      <w:pPr>
        <w:spacing w:after="150" w:line="292"/>
        <w:jc w:val="both"/>
      </w:pPr>
      <w:r>
        <w:rPr>
          <w:rFonts w:ascii="Times New Roman" w:cs="Times New Roman" w:eastAsia="Times New Roman" w:hAnsi="Times New Roman"/>
          <w:sz w:val="23"/>
          <w:szCs w:val="23"/>
        </w:rPr>
        <w:t xml:space="preserve">These point values conceal parameter uncertainty, which propagates nonlinearly through Equation (5). Treating each row as Dirichlet-distributed around the values in Table 2, with concentration equivalent to about 40 observed transitions per state, 20,000 simulated draws give the probability of reaching C from initial contact a median of 0.060 and a 95% interval of 0.014 to 0.161; expected time to absorption has a 95% interval of 2.17 to 5.01 months. With the equivalent of 400 transitions per state, the interval for reaching C narrows to 0.045 to 0.093. A probability reported without such an interval is not a scientific estimate.</w:t>
      </w:r>
    </w:p>
    <w:p>
      <w:pPr>
        <w:spacing w:after="150" w:line="292"/>
        <w:jc w:val="both"/>
      </w:pPr>
      <w:r>
        <w:rPr>
          <w:rFonts w:ascii="Times New Roman" w:cs="Times New Roman" w:eastAsia="Times New Roman" w:hAnsi="Times New Roman"/>
          <w:sz w:val="23"/>
          <w:szCs w:val="23"/>
        </w:rPr>
        <w:t xml:space="preserve">The chain's assumptions must be tested. The </w:t>
      </w:r>
      <w:r>
        <w:rPr>
          <w:rFonts w:ascii="Times New Roman" w:cs="Times New Roman" w:eastAsia="Times New Roman" w:hAnsi="Times New Roman"/>
          <w:i/>
          <w:iCs/>
          <w:sz w:val="23"/>
          <w:szCs w:val="23"/>
        </w:rPr>
        <w:t xml:space="preserve">Markov property</w:t>
      </w:r>
      <w:r>
        <w:rPr>
          <w:rFonts w:ascii="Times New Roman" w:cs="Times New Roman" w:eastAsia="Times New Roman" w:hAnsi="Times New Roman"/>
          <w:sz w:val="23"/>
          <w:szCs w:val="23"/>
        </w:rPr>
        <w:t xml:space="preserve"> says the next state depends only on the current one; </w:t>
      </w:r>
      <w:r>
        <w:rPr>
          <w:rFonts w:ascii="Times New Roman" w:cs="Times New Roman" w:eastAsia="Times New Roman" w:hAnsi="Times New Roman"/>
          <w:i/>
          <w:iCs/>
          <w:sz w:val="23"/>
          <w:szCs w:val="23"/>
        </w:rPr>
        <w:t xml:space="preserve">time homogeneity</w:t>
      </w:r>
      <w:r>
        <w:rPr>
          <w:rFonts w:ascii="Times New Roman" w:cs="Times New Roman" w:eastAsia="Times New Roman" w:hAnsi="Times New Roman"/>
          <w:sz w:val="23"/>
          <w:szCs w:val="23"/>
        </w:rPr>
        <w:t xml:space="preserve"> says transition probabilities do not change with time or relationship duration. Both can be checked against higher-order or duration-dependent alternatives on held-out data, and heterogeneity can enter through covariates or random effects. Even a well-fitting chain describes a population; a single couple's path remains highly uncertain.</w:t>
      </w:r>
    </w:p>
    <w:p>
      <w:pPr>
        <w:pStyle w:val="Heading2"/>
        <w:keepNext/>
        <w:spacing w:after="100" w:before="240"/>
      </w:pPr>
      <w:r>
        <w:rPr>
          <w:rFonts w:ascii="Times New Roman" w:cs="Times New Roman" w:eastAsia="Times New Roman" w:hAnsi="Times New Roman"/>
          <w:b/>
          <w:bCs/>
          <w:color w:val="1F3A5F"/>
          <w:sz w:val="24"/>
          <w:szCs w:val="24"/>
        </w:rPr>
        <w:t xml:space="preserve">5.2 Hidden Markov models for latent interest</w:t>
      </w:r>
    </w:p>
    <w:p>
      <w:pPr>
        <w:spacing w:after="150" w:line="292"/>
        <w:jc w:val="both"/>
      </w:pPr>
      <w:r>
        <w:rPr>
          <w:rFonts w:ascii="Times New Roman" w:cs="Times New Roman" w:eastAsia="Times New Roman" w:hAnsi="Times New Roman"/>
          <w:sz w:val="23"/>
          <w:szCs w:val="23"/>
        </w:rPr>
        <w:t xml:space="preserve">Interest is not directly observed; researchers observe behaviors and reports such as reply latency, ratings, or whether a second meeting occurs. A </w:t>
      </w:r>
      <w:r>
        <w:rPr>
          <w:rFonts w:ascii="Times New Roman" w:cs="Times New Roman" w:eastAsia="Times New Roman" w:hAnsi="Times New Roman"/>
          <w:i/>
          <w:iCs/>
          <w:sz w:val="23"/>
          <w:szCs w:val="23"/>
        </w:rPr>
        <w:t xml:space="preserve">hidden Markov model</w:t>
      </w:r>
      <w:r>
        <w:rPr>
          <w:rFonts w:ascii="Times New Roman" w:cs="Times New Roman" w:eastAsia="Times New Roman" w:hAnsi="Times New Roman"/>
          <w:sz w:val="23"/>
          <w:szCs w:val="23"/>
        </w:rPr>
        <w:t xml:space="preserve"> (HMM) treats the underlying state as latent (Visser, 2011):</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P(z</w:t>
      </w:r>
      <w:r>
        <w:rPr>
          <w:rFonts w:ascii="Times New Roman" w:cs="Times New Roman" w:eastAsia="Times New Roman" w:hAnsi="Times New Roman"/>
          <w:sz w:val="24"/>
          <w:szCs w:val="24"/>
          <w:vertAlign w:val="subscript"/>
        </w:rPr>
        <w:t xml:space="preserve">t</w:t>
      </w:r>
      <w:r>
        <w:rPr>
          <w:rFonts w:ascii="Times New Roman" w:cs="Times New Roman" w:eastAsia="Times New Roman" w:hAnsi="Times New Roman"/>
          <w:sz w:val="24"/>
          <w:szCs w:val="24"/>
        </w:rPr>
        <w:t xml:space="preserve"> = j ∣ z</w:t>
      </w:r>
      <w:r>
        <w:rPr>
          <w:rFonts w:ascii="Times New Roman" w:cs="Times New Roman" w:eastAsia="Times New Roman" w:hAnsi="Times New Roman"/>
          <w:sz w:val="24"/>
          <w:szCs w:val="24"/>
          <w:vertAlign w:val="subscript"/>
        </w:rPr>
        <w:t xml:space="preserve">t−1</w:t>
      </w:r>
      <w:r>
        <w:rPr>
          <w:rFonts w:ascii="Times New Roman" w:cs="Times New Roman" w:eastAsia="Times New Roman" w:hAnsi="Times New Roman"/>
          <w:sz w:val="24"/>
          <w:szCs w:val="24"/>
        </w:rPr>
        <w:t xml:space="preserve"> = i) = A</w:t>
      </w:r>
      <w:r>
        <w:rPr>
          <w:rFonts w:ascii="Times New Roman" w:cs="Times New Roman" w:eastAsia="Times New Roman" w:hAnsi="Times New Roman"/>
          <w:sz w:val="24"/>
          <w:szCs w:val="24"/>
          <w:vertAlign w:val="subscript"/>
        </w:rPr>
        <w:t xml:space="preserve">ij</w:t>
      </w:r>
      <w:r>
        <w:rPr>
          <w:rFonts w:ascii="Times New Roman" w:cs="Times New Roman" w:eastAsia="Times New Roman" w:hAnsi="Times New Roman"/>
          <w:sz w:val="24"/>
          <w:szCs w:val="24"/>
        </w:rPr>
        <w:t xml:space="preserve">,  P(y</w:t>
      </w:r>
      <w:r>
        <w:rPr>
          <w:rFonts w:ascii="Times New Roman" w:cs="Times New Roman" w:eastAsia="Times New Roman" w:hAnsi="Times New Roman"/>
          <w:sz w:val="24"/>
          <w:szCs w:val="24"/>
          <w:vertAlign w:val="subscript"/>
        </w:rPr>
        <w:t xml:space="preserve">t</w:t>
      </w:r>
      <w:r>
        <w:rPr>
          <w:rFonts w:ascii="Times New Roman" w:cs="Times New Roman" w:eastAsia="Times New Roman" w:hAnsi="Times New Roman"/>
          <w:sz w:val="24"/>
          <w:szCs w:val="24"/>
        </w:rPr>
        <w:t xml:space="preserve"> ∣ z</w:t>
      </w:r>
      <w:r>
        <w:rPr>
          <w:rFonts w:ascii="Times New Roman" w:cs="Times New Roman" w:eastAsia="Times New Roman" w:hAnsi="Times New Roman"/>
          <w:sz w:val="24"/>
          <w:szCs w:val="24"/>
          <w:vertAlign w:val="subscript"/>
        </w:rPr>
        <w:t xml:space="preserve">t</w:t>
      </w:r>
      <w:r>
        <w:rPr>
          <w:rFonts w:ascii="Times New Roman" w:cs="Times New Roman" w:eastAsia="Times New Roman" w:hAnsi="Times New Roman"/>
          <w:sz w:val="24"/>
          <w:szCs w:val="24"/>
        </w:rPr>
        <w:t xml:space="preserve"> = j) = f</w:t>
      </w:r>
      <w:r>
        <w:rPr>
          <w:rFonts w:ascii="Times New Roman" w:cs="Times New Roman" w:eastAsia="Times New Roman" w:hAnsi="Times New Roman"/>
          <w:sz w:val="24"/>
          <w:szCs w:val="24"/>
          <w:vertAlign w:val="subscript"/>
        </w:rPr>
        <w:t xml:space="preserve">j</w:t>
      </w:r>
      <w:r>
        <w:rPr>
          <w:rFonts w:ascii="Times New Roman" w:cs="Times New Roman" w:eastAsia="Times New Roman" w:hAnsi="Times New Roman"/>
          <w:sz w:val="24"/>
          <w:szCs w:val="24"/>
        </w:rPr>
        <w:t xml:space="preserve">(y</w:t>
      </w:r>
      <w:r>
        <w:rPr>
          <w:rFonts w:ascii="Times New Roman" w:cs="Times New Roman" w:eastAsia="Times New Roman" w:hAnsi="Times New Roman"/>
          <w:sz w:val="24"/>
          <w:szCs w:val="24"/>
          <w:vertAlign w:val="subscript"/>
        </w:rPr>
        <w:t xml:space="preserve">t</w:t>
      </w:r>
      <w:r>
        <w:rPr>
          <w:rFonts w:ascii="Times New Roman" w:cs="Times New Roman" w:eastAsia="Times New Roman" w:hAnsi="Times New Roman"/>
          <w:sz w:val="24"/>
          <w:szCs w:val="24"/>
        </w:rPr>
        <w:t xml:space="preserve">)</w:t>
      </w:r>
      <w:r>
        <w:rPr>
          <w:rFonts w:ascii="Times New Roman" w:cs="Times New Roman" w:eastAsia="Times New Roman" w:hAnsi="Times New Roman"/>
          <w:sz w:val="21"/>
          <w:szCs w:val="21"/>
        </w:rPr>
        <w:t xml:space="preserve">	(6)</w:t>
      </w:r>
    </w:p>
    <w:p>
      <w:pPr>
        <w:spacing w:after="150" w:line="292"/>
        <w:jc w:val="both"/>
      </w:pPr>
      <w:r>
        <w:rPr>
          <w:rFonts w:ascii="Times New Roman" w:cs="Times New Roman" w:eastAsia="Times New Roman" w:hAnsi="Times New Roman"/>
          <w:sz w:val="23"/>
          <w:szCs w:val="23"/>
        </w:rPr>
        <w:t xml:space="preserve">where z</w:t>
      </w:r>
      <w:r>
        <w:rPr>
          <w:rFonts w:ascii="Times New Roman" w:cs="Times New Roman" w:eastAsia="Times New Roman" w:hAnsi="Times New Roman"/>
          <w:sz w:val="23"/>
          <w:szCs w:val="23"/>
          <w:vertAlign w:val="subscript"/>
        </w:rPr>
        <w:t xml:space="preserve">t</w:t>
      </w:r>
      <w:r>
        <w:rPr>
          <w:rFonts w:ascii="Times New Roman" w:cs="Times New Roman" w:eastAsia="Times New Roman" w:hAnsi="Times New Roman"/>
          <w:sz w:val="23"/>
          <w:szCs w:val="23"/>
        </w:rPr>
        <w:t xml:space="preserve"> is the latent state at time t (for example, low, moderate or high mutual interest), A the latent transition matrix, y</w:t>
      </w:r>
      <w:r>
        <w:rPr>
          <w:rFonts w:ascii="Times New Roman" w:cs="Times New Roman" w:eastAsia="Times New Roman" w:hAnsi="Times New Roman"/>
          <w:sz w:val="23"/>
          <w:szCs w:val="23"/>
          <w:vertAlign w:val="subscript"/>
        </w:rPr>
        <w:t xml:space="preserve">t</w:t>
      </w:r>
      <w:r>
        <w:rPr>
          <w:rFonts w:ascii="Times New Roman" w:cs="Times New Roman" w:eastAsia="Times New Roman" w:hAnsi="Times New Roman"/>
          <w:sz w:val="23"/>
          <w:szCs w:val="23"/>
        </w:rPr>
        <w:t xml:space="preserve"> the observation, and f</w:t>
      </w:r>
      <w:r>
        <w:rPr>
          <w:rFonts w:ascii="Times New Roman" w:cs="Times New Roman" w:eastAsia="Times New Roman" w:hAnsi="Times New Roman"/>
          <w:sz w:val="23"/>
          <w:szCs w:val="23"/>
          <w:vertAlign w:val="subscript"/>
        </w:rPr>
        <w:t xml:space="preserve">j</w:t>
      </w:r>
      <w:r>
        <w:rPr>
          <w:rFonts w:ascii="Times New Roman" w:cs="Times New Roman" w:eastAsia="Times New Roman" w:hAnsi="Times New Roman"/>
          <w:sz w:val="23"/>
          <w:szCs w:val="23"/>
        </w:rPr>
        <w:t xml:space="preserve"> the distribution of observations in state j. HMMs separate noisy behavior from slower-changing states but carry three risks. The number of states may be poorly determined by data, with the over-extraction hazards of Section 4.3. State labels such as "high interest" come from the researcher and are hypotheses about construct validity, not findings. And parameters may be weakly identified when sequences are short (Section 6.1). Reading a behavior such as slow replies as evidence of someone's inner state is also an inference about that person, with the ethical implications of Section 10.</w:t>
      </w:r>
    </w:p>
    <w:p>
      <w:pPr>
        <w:pStyle w:val="Heading2"/>
        <w:keepNext/>
        <w:spacing w:after="100" w:before="240"/>
      </w:pPr>
      <w:r>
        <w:rPr>
          <w:rFonts w:ascii="Times New Roman" w:cs="Times New Roman" w:eastAsia="Times New Roman" w:hAnsi="Times New Roman"/>
          <w:b/>
          <w:bCs/>
          <w:color w:val="1F3A5F"/>
          <w:sz w:val="24"/>
          <w:szCs w:val="24"/>
        </w:rPr>
        <w:t xml:space="preserve">5.3 Hazard and survival models for time to dissolution</w:t>
      </w:r>
    </w:p>
    <w:p>
      <w:pPr>
        <w:spacing w:after="150" w:line="292"/>
        <w:jc w:val="both"/>
      </w:pPr>
      <w:r>
        <w:rPr>
          <w:rFonts w:ascii="Times New Roman" w:cs="Times New Roman" w:eastAsia="Times New Roman" w:hAnsi="Times New Roman"/>
          <w:sz w:val="23"/>
          <w:szCs w:val="23"/>
        </w:rPr>
        <w:t xml:space="preserve">Whether a relationship stabilizes or ends is a question about </w:t>
      </w:r>
      <w:r>
        <w:rPr>
          <w:rFonts w:ascii="Times New Roman" w:cs="Times New Roman" w:eastAsia="Times New Roman" w:hAnsi="Times New Roman"/>
          <w:i/>
          <w:iCs/>
          <w:sz w:val="23"/>
          <w:szCs w:val="23"/>
        </w:rPr>
        <w:t xml:space="preserve">time to an event</w:t>
      </w:r>
      <w:r>
        <w:rPr>
          <w:rFonts w:ascii="Times New Roman" w:cs="Times New Roman" w:eastAsia="Times New Roman" w:hAnsi="Times New Roman"/>
          <w:sz w:val="23"/>
          <w:szCs w:val="23"/>
        </w:rPr>
        <w:t xml:space="preserve">. Survival analysis handles it, including relationships that have not ended by the study's end (right censoring) (Cox, 1972; Singer &amp; Willett, 1993). With T the month a relationship ends, the discrete-time hazard and survival function are</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h(t) = P(T = t ∣ T ≥ t),  S(t) = ∏</w:t>
      </w:r>
      <w:r>
        <w:rPr>
          <w:rFonts w:ascii="Times New Roman" w:cs="Times New Roman" w:eastAsia="Times New Roman" w:hAnsi="Times New Roman"/>
          <w:sz w:val="24"/>
          <w:szCs w:val="24"/>
          <w:vertAlign w:val="subscript"/>
        </w:rPr>
        <w:t xml:space="preserve">k=1</w:t>
      </w:r>
      <w:r>
        <w:rPr>
          <w:rFonts w:ascii="Times New Roman" w:cs="Times New Roman" w:eastAsia="Times New Roman" w:hAnsi="Times New Roman"/>
          <w:sz w:val="24"/>
          <w:szCs w:val="24"/>
          <w:vertAlign w:val="superscript"/>
        </w:rPr>
        <w:t xml:space="preserve">t</w:t>
      </w:r>
      <w:r>
        <w:rPr>
          <w:rFonts w:ascii="Times New Roman" w:cs="Times New Roman" w:eastAsia="Times New Roman" w:hAnsi="Times New Roman"/>
          <w:sz w:val="24"/>
          <w:szCs w:val="24"/>
        </w:rPr>
        <w:t xml:space="preserve"> (1 − h(k))</w:t>
      </w:r>
      <w:r>
        <w:rPr>
          <w:rFonts w:ascii="Times New Roman" w:cs="Times New Roman" w:eastAsia="Times New Roman" w:hAnsi="Times New Roman"/>
          <w:sz w:val="21"/>
          <w:szCs w:val="21"/>
        </w:rPr>
        <w:t xml:space="preserve">	(7)</w:t>
      </w:r>
    </w:p>
    <w:p>
      <w:pPr>
        <w:spacing w:after="150" w:line="292"/>
        <w:jc w:val="both"/>
      </w:pPr>
      <w:r>
        <w:rPr>
          <w:rFonts w:ascii="Times New Roman" w:cs="Times New Roman" w:eastAsia="Times New Roman" w:hAnsi="Times New Roman"/>
          <w:sz w:val="23"/>
          <w:szCs w:val="23"/>
        </w:rPr>
        <w:t xml:space="preserve">and covariates commonly enter as logit h(t ∣ x) = α</w:t>
      </w:r>
      <w:r>
        <w:rPr>
          <w:rFonts w:ascii="Times New Roman" w:cs="Times New Roman" w:eastAsia="Times New Roman" w:hAnsi="Times New Roman"/>
          <w:sz w:val="23"/>
          <w:szCs w:val="23"/>
          <w:vertAlign w:val="subscript"/>
        </w:rPr>
        <w:t xml:space="preserve">t</w:t>
      </w:r>
      <w:r>
        <w:rPr>
          <w:rFonts w:ascii="Times New Roman" w:cs="Times New Roman" w:eastAsia="Times New Roman" w:hAnsi="Times New Roman"/>
          <w:sz w:val="23"/>
          <w:szCs w:val="23"/>
        </w:rPr>
        <w:t xml:space="preserve"> + βᵀx, where α</w:t>
      </w:r>
      <w:r>
        <w:rPr>
          <w:rFonts w:ascii="Times New Roman" w:cs="Times New Roman" w:eastAsia="Times New Roman" w:hAnsi="Times New Roman"/>
          <w:sz w:val="23"/>
          <w:szCs w:val="23"/>
          <w:vertAlign w:val="subscript"/>
        </w:rPr>
        <w:t xml:space="preserve">t</w:t>
      </w:r>
      <w:r>
        <w:rPr>
          <w:rFonts w:ascii="Times New Roman" w:cs="Times New Roman" w:eastAsia="Times New Roman" w:hAnsi="Times New Roman"/>
          <w:sz w:val="23"/>
          <w:szCs w:val="23"/>
        </w:rPr>
        <w:t xml:space="preserve"> is a baseline term for each period, x a covariate vector and β its coefficients (Singer &amp; Willett, 1993); the continuous-time counterpart is the proportional hazards model (Cox, 1972). Table 3 compares an illustrative declining hazard (0.06 per month in months 1 to 6, 0.035 in months 7 to 12, 0.02 in months 13 to 24) with a constant hazard of 0.0339, chosen in code to give the same 24-month survival.</w:t>
      </w:r>
    </w:p>
    <w:p>
      <w:pPr>
        <w:keepNext/>
        <w:spacing w:after="80" w:before="200"/>
      </w:pPr>
      <w:r>
        <w:rPr>
          <w:rFonts w:ascii="Arial" w:cs="Arial" w:eastAsia="Arial" w:hAnsi="Arial"/>
          <w:b/>
          <w:bCs/>
          <w:color w:val="33465C"/>
          <w:sz w:val="17"/>
          <w:szCs w:val="17"/>
        </w:rPr>
        <w:t xml:space="preserve">Table 3.</w:t>
      </w:r>
      <w:r>
        <w:rPr>
          <w:rFonts w:ascii="Arial" w:cs="Arial" w:eastAsia="Arial" w:hAnsi="Arial"/>
          <w:color w:val="33465C"/>
          <w:sz w:val="17"/>
          <w:szCs w:val="17"/>
        </w:rPr>
        <w:t xml:space="preserve"> Illustrative survival probabilities under a declining and a constant monthly hazard with equal 24-month survival.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Pr>
        <w:tc>
          <w:tcPr>
            <w:tcW w:type="dxa" w:w="3120"/>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Month t</w:t>
            </w:r>
          </w:p>
        </w:tc>
        <w:tc>
          <w:tcPr>
            <w:tcW w:type="dxa" w:w="3120"/>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S(t), declining hazard</w:t>
            </w:r>
          </w:p>
        </w:tc>
        <w:tc>
          <w:tcPr>
            <w:tcW w:type="dxa" w:w="3120"/>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S(t), constant hazard</w:t>
            </w:r>
          </w:p>
        </w:tc>
      </w:tr>
      <w:tr>
        <w:trPr>
          <w:cantSplit/>
          <w:tblHeader w:val="off"/>
        </w:trPr>
        <w:tc>
          <w:tcPr>
            <w:tcW w:type="dxa" w:w="312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6</w:t>
            </w:r>
          </w:p>
        </w:tc>
        <w:tc>
          <w:tcPr>
            <w:tcW w:type="dxa" w:w="312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0.690</w:t>
            </w:r>
          </w:p>
        </w:tc>
        <w:tc>
          <w:tcPr>
            <w:tcW w:type="dxa" w:w="312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0.813</w:t>
            </w:r>
          </w:p>
        </w:tc>
      </w:tr>
      <w:tr>
        <w:trPr>
          <w:cantSplit/>
          <w:tblHeader w:val="off"/>
        </w:trPr>
        <w:tc>
          <w:tcPr>
            <w:tcW w:type="dxa" w:w="3120"/>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12</w:t>
            </w:r>
          </w:p>
        </w:tc>
        <w:tc>
          <w:tcPr>
            <w:tcW w:type="dxa" w:w="3120"/>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0.557</w:t>
            </w:r>
          </w:p>
        </w:tc>
        <w:tc>
          <w:tcPr>
            <w:tcW w:type="dxa" w:w="3120"/>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0.661</w:t>
            </w:r>
          </w:p>
        </w:tc>
      </w:tr>
      <w:tr>
        <w:trPr>
          <w:cantSplit/>
          <w:tblHeader w:val="off"/>
        </w:trPr>
        <w:tc>
          <w:tcPr>
            <w:tcW w:type="dxa" w:w="312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24</w:t>
            </w:r>
          </w:p>
        </w:tc>
        <w:tc>
          <w:tcPr>
            <w:tcW w:type="dxa" w:w="312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0.437</w:t>
            </w:r>
          </w:p>
        </w:tc>
        <w:tc>
          <w:tcPr>
            <w:tcW w:type="dxa" w:w="312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0.437</w:t>
            </w:r>
          </w:p>
        </w:tc>
      </w:tr>
    </w:tbl>
    <w:p>
      <w:pPr>
        <w:spacing w:after="200"/>
      </w:pPr>
    </w:p>
    <w:p>
      <w:pPr>
        <w:spacing w:after="150" w:line="292"/>
        <w:jc w:val="both"/>
      </w:pPr>
      <w:r>
        <w:rPr>
          <w:rFonts w:ascii="Times New Roman" w:cs="Times New Roman" w:eastAsia="Times New Roman" w:hAnsi="Times New Roman"/>
          <w:sz w:val="23"/>
          <w:szCs w:val="23"/>
        </w:rPr>
        <w:t xml:space="preserve">The models agree at 24 months but the constant hazard overstates six-month survival by more than 0.12. A single summary probability of "collapse" hides this, so dissolution models must report the hazard over time, whose shape is itself an empirical question. The same machinery can describe recovery after loss (IHE-WP-02), with the event defined as return to a pre-specified level of well-being.</w:t>
      </w:r>
    </w:p>
    <w:p>
      <w:pPr>
        <w:pStyle w:val="Heading2"/>
        <w:keepNext/>
        <w:spacing w:after="100" w:before="240"/>
      </w:pPr>
      <w:r>
        <w:rPr>
          <w:rFonts w:ascii="Times New Roman" w:cs="Times New Roman" w:eastAsia="Times New Roman" w:hAnsi="Times New Roman"/>
          <w:b/>
          <w:bCs/>
          <w:color w:val="1F3A5F"/>
          <w:sz w:val="24"/>
          <w:szCs w:val="24"/>
        </w:rPr>
        <w:t xml:space="preserve">5.4 Bayesian updating with explicit priors</w:t>
      </w:r>
    </w:p>
    <w:p>
      <w:pPr>
        <w:spacing w:after="150" w:line="292"/>
        <w:jc w:val="both"/>
      </w:pPr>
      <w:r>
        <w:rPr>
          <w:rFonts w:ascii="Times New Roman" w:cs="Times New Roman" w:eastAsia="Times New Roman" w:hAnsi="Times New Roman"/>
          <w:sz w:val="23"/>
          <w:szCs w:val="23"/>
        </w:rPr>
        <w:t xml:space="preserve">Bayesian inference represents uncertainty about a parameter as a probability distribution updated by data (Gelman et al., 2013). For a proportion θ, such as the share of first meetings in a study population after which both people request a second meeting,</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θ ~ Beta(a, b),  x ∣ θ ~ Binomial(n, θ),  θ ∣ x ~ Beta(a + x, b + n − x)</w:t>
      </w:r>
      <w:r>
        <w:rPr>
          <w:rFonts w:ascii="Times New Roman" w:cs="Times New Roman" w:eastAsia="Times New Roman" w:hAnsi="Times New Roman"/>
          <w:sz w:val="21"/>
          <w:szCs w:val="21"/>
        </w:rPr>
        <w:t xml:space="preserve">	(8)</w:t>
      </w:r>
    </w:p>
    <w:p>
      <w:pPr>
        <w:spacing w:after="150" w:line="292"/>
        <w:jc w:val="both"/>
      </w:pPr>
      <w:r>
        <w:rPr>
          <w:rFonts w:ascii="Times New Roman" w:cs="Times New Roman" w:eastAsia="Times New Roman" w:hAnsi="Times New Roman"/>
          <w:sz w:val="23"/>
          <w:szCs w:val="23"/>
        </w:rPr>
        <w:t xml:space="preserve">where a and b are prior parameters, n the number of meetings and x the number with a mutual request. Table 4 shows posteriors for an invented result of 18 in 60 under three priors.</w:t>
      </w:r>
    </w:p>
    <w:p>
      <w:pPr>
        <w:keepNext/>
        <w:spacing w:after="80" w:before="200"/>
      </w:pPr>
      <w:r>
        <w:rPr>
          <w:rFonts w:ascii="Arial" w:cs="Arial" w:eastAsia="Arial" w:hAnsi="Arial"/>
          <w:b/>
          <w:bCs/>
          <w:color w:val="33465C"/>
          <w:sz w:val="17"/>
          <w:szCs w:val="17"/>
        </w:rPr>
        <w:t xml:space="preserve">Table 4.</w:t>
      </w:r>
      <w:r>
        <w:rPr>
          <w:rFonts w:ascii="Arial" w:cs="Arial" w:eastAsia="Arial" w:hAnsi="Arial"/>
          <w:color w:val="33465C"/>
          <w:sz w:val="17"/>
          <w:szCs w:val="17"/>
        </w:rPr>
        <w:t xml:space="preserve"> Posterior distributions for an illustrative proportion (x = 18, n = 60); 95% equal-tailed credible intervals computed in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78"/>
        <w:gridCol w:w="1839"/>
        <w:gridCol w:w="1634"/>
        <w:gridCol w:w="2209"/>
      </w:tblGrid>
      <w:tr>
        <w:trPr>
          <w:cantSplit/>
          <w:tblHeader/>
        </w:trPr>
        <w:tc>
          <w:tcPr>
            <w:tcW w:type="dxa" w:w="3678"/>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Prior</w:t>
            </w:r>
          </w:p>
        </w:tc>
        <w:tc>
          <w:tcPr>
            <w:tcW w:type="dxa" w:w="1839"/>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Posterior</w:t>
            </w:r>
          </w:p>
        </w:tc>
        <w:tc>
          <w:tcPr>
            <w:tcW w:type="dxa" w:w="1634"/>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Posterior mean</w:t>
            </w:r>
          </w:p>
        </w:tc>
        <w:tc>
          <w:tcPr>
            <w:tcW w:type="dxa" w:w="2209"/>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95% interval</w:t>
            </w:r>
          </w:p>
        </w:tc>
      </w:tr>
      <w:tr>
        <w:trPr>
          <w:cantSplit/>
          <w:tblHeader w:val="off"/>
        </w:trPr>
        <w:tc>
          <w:tcPr>
            <w:tcW w:type="dxa" w:w="3678"/>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Beta(1, 1), uniform</w:t>
            </w:r>
          </w:p>
        </w:tc>
        <w:tc>
          <w:tcPr>
            <w:tcW w:type="dxa" w:w="183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Beta(19, 43)</w:t>
            </w:r>
          </w:p>
        </w:tc>
        <w:tc>
          <w:tcPr>
            <w:tcW w:type="dxa" w:w="163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0.306</w:t>
            </w:r>
          </w:p>
        </w:tc>
        <w:tc>
          <w:tcPr>
            <w:tcW w:type="dxa" w:w="22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0.199 to 0.426</w:t>
            </w:r>
          </w:p>
        </w:tc>
      </w:tr>
      <w:tr>
        <w:trPr>
          <w:cantSplit/>
          <w:tblHeader w:val="off"/>
        </w:trPr>
        <w:tc>
          <w:tcPr>
            <w:tcW w:type="dxa" w:w="3678"/>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Beta(2, 2), weakly informative</w:t>
            </w:r>
          </w:p>
        </w:tc>
        <w:tc>
          <w:tcPr>
            <w:tcW w:type="dxa" w:w="183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Beta(20, 44)</w:t>
            </w:r>
          </w:p>
        </w:tc>
        <w:tc>
          <w:tcPr>
            <w:tcW w:type="dxa" w:w="1634"/>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0.312</w:t>
            </w:r>
          </w:p>
        </w:tc>
        <w:tc>
          <w:tcPr>
            <w:tcW w:type="dxa" w:w="220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0.206 to 0.430</w:t>
            </w:r>
          </w:p>
        </w:tc>
      </w:tr>
      <w:tr>
        <w:trPr>
          <w:cantSplit/>
          <w:tblHeader w:val="off"/>
        </w:trPr>
        <w:tc>
          <w:tcPr>
            <w:tcW w:type="dxa" w:w="3678"/>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Beta(10, 30), informative, mean 0.25</w:t>
            </w:r>
          </w:p>
        </w:tc>
        <w:tc>
          <w:tcPr>
            <w:tcW w:type="dxa" w:w="183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Beta(28, 72)</w:t>
            </w:r>
          </w:p>
        </w:tc>
        <w:tc>
          <w:tcPr>
            <w:tcW w:type="dxa" w:w="1634"/>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0.280</w:t>
            </w:r>
          </w:p>
        </w:tc>
        <w:tc>
          <w:tcPr>
            <w:tcW w:type="dxa" w:w="22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0.197 to 0.371</w:t>
            </w:r>
          </w:p>
        </w:tc>
      </w:tr>
    </w:tbl>
    <w:p>
      <w:pPr>
        <w:spacing w:after="200"/>
      </w:pPr>
    </w:p>
    <w:p>
      <w:pPr>
        <w:spacing w:after="150" w:line="292"/>
        <w:jc w:val="both"/>
      </w:pPr>
      <w:r>
        <w:rPr>
          <w:rFonts w:ascii="Times New Roman" w:cs="Times New Roman" w:eastAsia="Times New Roman" w:hAnsi="Times New Roman"/>
          <w:sz w:val="23"/>
          <w:szCs w:val="23"/>
        </w:rPr>
        <w:t xml:space="preserve">Priors must be stated and their influence reported; here a moderately informative prior shifts the mean by about 0.03. With 60 observations the interval remains wide. Predictions must include parameter uncertainty: under the weakly informative prior, the posterior predictive distribution for mutual requests in the next 20 meetings has mean 6.25 and a 95% interval of 2 to 11, wider than the 2 to 10 obtained by treating the posterior mean as known. θ is a population proportion. Reusing the arithmetic for one person's chances with another, updated after each interaction, inherits the problems of Section 3, because interactions within a dyad are not exchangeable draws from a fixed θ. Hierarchical models, in which each dyad has its own parameter drawn from a population distribution, are the appropriate structure (Gelman et al., 2013), and the spread of that distribution (the heterogeneity of Table 1) is often the key quantity.</w:t>
      </w:r>
    </w:p>
    <w:p>
      <w:pPr>
        <w:pStyle w:val="Heading2"/>
        <w:keepNext/>
        <w:spacing w:after="100" w:before="240"/>
      </w:pPr>
      <w:r>
        <w:rPr>
          <w:rFonts w:ascii="Times New Roman" w:cs="Times New Roman" w:eastAsia="Times New Roman" w:hAnsi="Times New Roman"/>
          <w:b/>
          <w:bCs/>
          <w:color w:val="1F3A5F"/>
          <w:sz w:val="24"/>
          <w:szCs w:val="24"/>
        </w:rPr>
        <w:t xml:space="preserve">5.5 Dyadic and multilevel structure: the social relations model</w:t>
      </w:r>
    </w:p>
    <w:p>
      <w:pPr>
        <w:spacing w:after="150" w:line="292"/>
        <w:jc w:val="both"/>
      </w:pPr>
      <w:r>
        <w:rPr>
          <w:rFonts w:ascii="Times New Roman" w:cs="Times New Roman" w:eastAsia="Times New Roman" w:hAnsi="Times New Roman"/>
          <w:sz w:val="23"/>
          <w:szCs w:val="23"/>
        </w:rPr>
        <w:t xml:space="preserve">The social relations model decomposes a rating y</w:t>
      </w:r>
      <w:r>
        <w:rPr>
          <w:rFonts w:ascii="Times New Roman" w:cs="Times New Roman" w:eastAsia="Times New Roman" w:hAnsi="Times New Roman"/>
          <w:sz w:val="23"/>
          <w:szCs w:val="23"/>
          <w:vertAlign w:val="subscript"/>
        </w:rPr>
        <w:t xml:space="preserve">ijk</w:t>
      </w:r>
      <w:r>
        <w:rPr>
          <w:rFonts w:ascii="Times New Roman" w:cs="Times New Roman" w:eastAsia="Times New Roman" w:hAnsi="Times New Roman"/>
          <w:sz w:val="23"/>
          <w:szCs w:val="23"/>
        </w:rPr>
        <w:t xml:space="preserve"> by person i of person j on occasion k as</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y</w:t>
      </w:r>
      <w:r>
        <w:rPr>
          <w:rFonts w:ascii="Times New Roman" w:cs="Times New Roman" w:eastAsia="Times New Roman" w:hAnsi="Times New Roman"/>
          <w:sz w:val="24"/>
          <w:szCs w:val="24"/>
          <w:vertAlign w:val="subscript"/>
        </w:rPr>
        <w:t xml:space="preserve">ijk</w:t>
      </w:r>
      <w:r>
        <w:rPr>
          <w:rFonts w:ascii="Times New Roman" w:cs="Times New Roman" w:eastAsia="Times New Roman" w:hAnsi="Times New Roman"/>
          <w:sz w:val="24"/>
          <w:szCs w:val="24"/>
        </w:rPr>
        <w:t xml:space="preserve"> = μ + a</w:t>
      </w:r>
      <w:r>
        <w:rPr>
          <w:rFonts w:ascii="Times New Roman" w:cs="Times New Roman" w:eastAsia="Times New Roman" w:hAnsi="Times New Roman"/>
          <w:sz w:val="24"/>
          <w:szCs w:val="24"/>
          <w:vertAlign w:val="subscript"/>
        </w:rPr>
        <w:t xml:space="preserve">i</w:t>
      </w:r>
      <w:r>
        <w:rPr>
          <w:rFonts w:ascii="Times New Roman" w:cs="Times New Roman" w:eastAsia="Times New Roman" w:hAnsi="Times New Roman"/>
          <w:sz w:val="24"/>
          <w:szCs w:val="24"/>
        </w:rPr>
        <w:t xml:space="preserve"> + b</w:t>
      </w:r>
      <w:r>
        <w:rPr>
          <w:rFonts w:ascii="Times New Roman" w:cs="Times New Roman" w:eastAsia="Times New Roman" w:hAnsi="Times New Roman"/>
          <w:sz w:val="24"/>
          <w:szCs w:val="24"/>
          <w:vertAlign w:val="subscript"/>
        </w:rPr>
        <w:t xml:space="preserve">j</w:t>
      </w:r>
      <w:r>
        <w:rPr>
          <w:rFonts w:ascii="Times New Roman" w:cs="Times New Roman" w:eastAsia="Times New Roman" w:hAnsi="Times New Roman"/>
          <w:sz w:val="24"/>
          <w:szCs w:val="24"/>
        </w:rPr>
        <w:t xml:space="preserve"> + g</w:t>
      </w:r>
      <w:r>
        <w:rPr>
          <w:rFonts w:ascii="Times New Roman" w:cs="Times New Roman" w:eastAsia="Times New Roman" w:hAnsi="Times New Roman"/>
          <w:sz w:val="24"/>
          <w:szCs w:val="24"/>
          <w:vertAlign w:val="subscript"/>
        </w:rPr>
        <w:t xml:space="preserve">ij</w:t>
      </w:r>
      <w:r>
        <w:rPr>
          <w:rFonts w:ascii="Times New Roman" w:cs="Times New Roman" w:eastAsia="Times New Roman" w:hAnsi="Times New Roman"/>
          <w:sz w:val="24"/>
          <w:szCs w:val="24"/>
        </w:rPr>
        <w:t xml:space="preserve"> + e</w:t>
      </w:r>
      <w:r>
        <w:rPr>
          <w:rFonts w:ascii="Times New Roman" w:cs="Times New Roman" w:eastAsia="Times New Roman" w:hAnsi="Times New Roman"/>
          <w:sz w:val="24"/>
          <w:szCs w:val="24"/>
          <w:vertAlign w:val="subscript"/>
        </w:rPr>
        <w:t xml:space="preserve">ijk</w:t>
      </w:r>
      <w:r>
        <w:rPr>
          <w:rFonts w:ascii="Times New Roman" w:cs="Times New Roman" w:eastAsia="Times New Roman" w:hAnsi="Times New Roman"/>
          <w:sz w:val="21"/>
          <w:szCs w:val="21"/>
        </w:rPr>
        <w:t xml:space="preserve">	(9)</w:t>
      </w:r>
    </w:p>
    <w:p>
      <w:pPr>
        <w:spacing w:after="150" w:line="292"/>
        <w:jc w:val="both"/>
      </w:pPr>
      <w:r>
        <w:rPr>
          <w:rFonts w:ascii="Times New Roman" w:cs="Times New Roman" w:eastAsia="Times New Roman" w:hAnsi="Times New Roman"/>
          <w:sz w:val="23"/>
          <w:szCs w:val="23"/>
        </w:rPr>
        <w:t xml:space="preserve">where μ is the grand mean, a</w:t>
      </w:r>
      <w:r>
        <w:rPr>
          <w:rFonts w:ascii="Times New Roman" w:cs="Times New Roman" w:eastAsia="Times New Roman" w:hAnsi="Times New Roman"/>
          <w:sz w:val="23"/>
          <w:szCs w:val="23"/>
          <w:vertAlign w:val="subscript"/>
        </w:rPr>
        <w:t xml:space="preserve">i</w:t>
      </w:r>
      <w:r>
        <w:rPr>
          <w:rFonts w:ascii="Times New Roman" w:cs="Times New Roman" w:eastAsia="Times New Roman" w:hAnsi="Times New Roman"/>
          <w:sz w:val="23"/>
          <w:szCs w:val="23"/>
        </w:rPr>
        <w:t xml:space="preserve"> the actor effect (i's general tendency to rate others highly), b</w:t>
      </w:r>
      <w:r>
        <w:rPr>
          <w:rFonts w:ascii="Times New Roman" w:cs="Times New Roman" w:eastAsia="Times New Roman" w:hAnsi="Times New Roman"/>
          <w:sz w:val="23"/>
          <w:szCs w:val="23"/>
          <w:vertAlign w:val="subscript"/>
        </w:rPr>
        <w:t xml:space="preserve">j</w:t>
      </w:r>
      <w:r>
        <w:rPr>
          <w:rFonts w:ascii="Times New Roman" w:cs="Times New Roman" w:eastAsia="Times New Roman" w:hAnsi="Times New Roman"/>
          <w:sz w:val="23"/>
          <w:szCs w:val="23"/>
        </w:rPr>
        <w:t xml:space="preserve"> the partner effect (j's general tendency to be rated highly), g</w:t>
      </w:r>
      <w:r>
        <w:rPr>
          <w:rFonts w:ascii="Times New Roman" w:cs="Times New Roman" w:eastAsia="Times New Roman" w:hAnsi="Times New Roman"/>
          <w:sz w:val="23"/>
          <w:szCs w:val="23"/>
          <w:vertAlign w:val="subscript"/>
        </w:rPr>
        <w:t xml:space="preserve">ij</w:t>
      </w:r>
      <w:r>
        <w:rPr>
          <w:rFonts w:ascii="Times New Roman" w:cs="Times New Roman" w:eastAsia="Times New Roman" w:hAnsi="Times New Roman"/>
          <w:sz w:val="23"/>
          <w:szCs w:val="23"/>
        </w:rPr>
        <w:t xml:space="preserve"> the relationship effect (i's unique response to j), and e</w:t>
      </w:r>
      <w:r>
        <w:rPr>
          <w:rFonts w:ascii="Times New Roman" w:cs="Times New Roman" w:eastAsia="Times New Roman" w:hAnsi="Times New Roman"/>
          <w:sz w:val="23"/>
          <w:szCs w:val="23"/>
          <w:vertAlign w:val="subscript"/>
        </w:rPr>
        <w:t xml:space="preserve">ijk</w:t>
      </w:r>
      <w:r>
        <w:rPr>
          <w:rFonts w:ascii="Times New Roman" w:cs="Times New Roman" w:eastAsia="Times New Roman" w:hAnsi="Times New Roman"/>
          <w:sz w:val="23"/>
          <w:szCs w:val="23"/>
        </w:rPr>
        <w:t xml:space="preserve"> occasion-specific error (Kenny &amp; La Voie, 1984; Kenny et al., 2006). The full model also estimates reciprocity correlations. Equation (9) shows that "the probability of attraction" is not one quantity: it mixes rater tendencies, target tendencies and the specific pairing, which have different predictors (Joel et al., 2017).</w:t>
      </w:r>
    </w:p>
    <w:p>
      <w:pPr>
        <w:spacing w:after="150" w:line="292"/>
        <w:jc w:val="both"/>
      </w:pPr>
      <w:r>
        <w:rPr>
          <w:rFonts w:ascii="Times New Roman" w:cs="Times New Roman" w:eastAsia="Times New Roman" w:hAnsi="Times New Roman"/>
          <w:sz w:val="23"/>
          <w:szCs w:val="23"/>
        </w:rPr>
        <w:t xml:space="preserve">It also shows what designs can identify. In 2,000 simulated replications of a design in which 10 people each rate the same 10 others (true variance shares 0.20 actor, 0.30 partner, 0.30 relationship, 0.20 error), estimates with two measurements per pair were unbiased on average but varied widely: 95% of actor-variance estimates fell between 0.03 and 0.48, and of partner-variance estimates between 0.07 and 0.70. With one measurement per pair, relationship and error variance could not be separated; only their sum (about 0.50) was identified. Claims about relationship-specific attraction therefore require repeated measures or multiple indicators per pair and samples large enough for useful precision.</w:t>
      </w:r>
    </w:p>
    <w:p>
      <w:pPr>
        <w:pStyle w:val="Heading2"/>
        <w:keepNext/>
        <w:spacing w:after="100" w:before="240"/>
      </w:pPr>
      <w:r>
        <w:rPr>
          <w:rFonts w:ascii="Times New Roman" w:cs="Times New Roman" w:eastAsia="Times New Roman" w:hAnsi="Times New Roman"/>
          <w:b/>
          <w:bCs/>
          <w:color w:val="1F3A5F"/>
          <w:sz w:val="24"/>
          <w:szCs w:val="24"/>
        </w:rPr>
        <w:t xml:space="preserve">5.6 Dynamical systems and summary</w:t>
      </w:r>
    </w:p>
    <w:p>
      <w:pPr>
        <w:spacing w:after="150" w:line="292"/>
        <w:jc w:val="both"/>
      </w:pPr>
      <w:r>
        <w:rPr>
          <w:rFonts w:ascii="Times New Roman" w:cs="Times New Roman" w:eastAsia="Times New Roman" w:hAnsi="Times New Roman"/>
          <w:sz w:val="23"/>
          <w:szCs w:val="23"/>
        </w:rPr>
        <w:t xml:space="preserve">Dynamical models of the kind reviewed in Section 2.1 (Strogatz, 1988; Felmlee &amp; Greenberg, 1999; Gottman et al., 1999) represent continuous mutual influence rather than discrete states. They suit intensive repeated measures, such as moment-to-moment affect in conversation, but are prone to fitting noise when parameters are many and series short, making identifiability analysis essential (Butler, 2011). Table 5 summarizes the model classes.</w:t>
      </w:r>
    </w:p>
    <w:p>
      <w:pPr>
        <w:keepNext/>
        <w:spacing w:after="80" w:before="200"/>
      </w:pPr>
      <w:r>
        <w:rPr>
          <w:rFonts w:ascii="Arial" w:cs="Arial" w:eastAsia="Arial" w:hAnsi="Arial"/>
          <w:b/>
          <w:bCs/>
          <w:color w:val="33465C"/>
          <w:sz w:val="17"/>
          <w:szCs w:val="17"/>
        </w:rPr>
        <w:t xml:space="preserve">Table 5.</w:t>
      </w:r>
      <w:r>
        <w:rPr>
          <w:rFonts w:ascii="Arial" w:cs="Arial" w:eastAsia="Arial" w:hAnsi="Arial"/>
          <w:color w:val="33465C"/>
          <w:sz w:val="17"/>
          <w:szCs w:val="17"/>
        </w:rPr>
        <w:t xml:space="preserve"> Summary of candidate model classes.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65"/>
        <w:gridCol w:w="2692"/>
        <w:gridCol w:w="2616"/>
        <w:gridCol w:w="2287"/>
      </w:tblGrid>
      <w:tr>
        <w:trPr>
          <w:cantSplit/>
          <w:tblHeader/>
        </w:trPr>
        <w:tc>
          <w:tcPr>
            <w:tcW w:type="dxa" w:w="1765"/>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Model class</w:t>
            </w:r>
          </w:p>
        </w:tc>
        <w:tc>
          <w:tcPr>
            <w:tcW w:type="dxa" w:w="269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Question addressed</w:t>
            </w:r>
          </w:p>
        </w:tc>
        <w:tc>
          <w:tcPr>
            <w:tcW w:type="dxa" w:w="2616"/>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Key assumption to test</w:t>
            </w:r>
          </w:p>
        </w:tc>
        <w:tc>
          <w:tcPr>
            <w:tcW w:type="dxa" w:w="2287"/>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Main risk</w:t>
            </w:r>
          </w:p>
        </w:tc>
      </w:tr>
      <w:tr>
        <w:trPr>
          <w:cantSplit/>
          <w:tblHeader w:val="off"/>
        </w:trPr>
        <w:tc>
          <w:tcPr>
            <w:tcW w:type="dxa" w:w="176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Absorbing Markov chain</w:t>
            </w:r>
          </w:p>
        </w:tc>
        <w:tc>
          <w:tcPr>
            <w:tcW w:type="dxa" w:w="269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Which states are reached, and when</w:t>
            </w:r>
          </w:p>
        </w:tc>
        <w:tc>
          <w:tcPr>
            <w:tcW w:type="dxa" w:w="261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Markov property; time homogeneity</w:t>
            </w:r>
          </w:p>
        </w:tc>
        <w:tc>
          <w:tcPr>
            <w:tcW w:type="dxa" w:w="228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False precision without intervals</w:t>
            </w:r>
          </w:p>
        </w:tc>
      </w:tr>
      <w:tr>
        <w:trPr>
          <w:cantSplit/>
          <w:tblHeader w:val="off"/>
        </w:trPr>
        <w:tc>
          <w:tcPr>
            <w:tcW w:type="dxa" w:w="176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Hidden Markov model</w:t>
            </w:r>
          </w:p>
        </w:tc>
        <w:tc>
          <w:tcPr>
            <w:tcW w:type="dxa" w:w="269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Latent interest behind behavior</w:t>
            </w:r>
          </w:p>
        </w:tc>
        <w:tc>
          <w:tcPr>
            <w:tcW w:type="dxa" w:w="261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Number and meaning of states</w:t>
            </w:r>
          </w:p>
        </w:tc>
        <w:tc>
          <w:tcPr>
            <w:tcW w:type="dxa" w:w="228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Over-extraction; mislabeled states</w:t>
            </w:r>
          </w:p>
        </w:tc>
      </w:tr>
      <w:tr>
        <w:trPr>
          <w:cantSplit/>
          <w:tblHeader w:val="off"/>
        </w:trPr>
        <w:tc>
          <w:tcPr>
            <w:tcW w:type="dxa" w:w="176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Discrete-time hazard</w:t>
            </w:r>
          </w:p>
        </w:tc>
        <w:tc>
          <w:tcPr>
            <w:tcW w:type="dxa" w:w="269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Timing of dissolution or recovery</w:t>
            </w:r>
          </w:p>
        </w:tc>
        <w:tc>
          <w:tcPr>
            <w:tcW w:type="dxa" w:w="261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Hazard shape; non-informative censoring</w:t>
            </w:r>
          </w:p>
        </w:tc>
        <w:tc>
          <w:tcPr>
            <w:tcW w:type="dxa" w:w="228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Summaries that hide timing</w:t>
            </w:r>
          </w:p>
        </w:tc>
      </w:tr>
      <w:tr>
        <w:trPr>
          <w:cantSplit/>
          <w:tblHeader w:val="off"/>
        </w:trPr>
        <w:tc>
          <w:tcPr>
            <w:tcW w:type="dxa" w:w="176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Beta-Binomial (hierarchical)</w:t>
            </w:r>
          </w:p>
        </w:tc>
        <w:tc>
          <w:tcPr>
            <w:tcW w:type="dxa" w:w="269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Population rates with uncertainty</w:t>
            </w:r>
          </w:p>
        </w:tc>
        <w:tc>
          <w:tcPr>
            <w:tcW w:type="dxa" w:w="261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Exchangeability within level</w:t>
            </w:r>
          </w:p>
        </w:tc>
        <w:tc>
          <w:tcPr>
            <w:tcW w:type="dxa" w:w="228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Misuse as individual forecast</w:t>
            </w:r>
          </w:p>
        </w:tc>
      </w:tr>
      <w:tr>
        <w:trPr>
          <w:cantSplit/>
          <w:tblHeader w:val="off"/>
        </w:trPr>
        <w:tc>
          <w:tcPr>
            <w:tcW w:type="dxa" w:w="176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Social relations model</w:t>
            </w:r>
          </w:p>
        </w:tc>
        <w:tc>
          <w:tcPr>
            <w:tcW w:type="dxa" w:w="269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Actor, partner, relationship variance</w:t>
            </w:r>
          </w:p>
        </w:tc>
        <w:tc>
          <w:tcPr>
            <w:tcW w:type="dxa" w:w="261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Design supports decomposition</w:t>
            </w:r>
          </w:p>
        </w:tc>
        <w:tc>
          <w:tcPr>
            <w:tcW w:type="dxa" w:w="228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Underpowered round-robins</w:t>
            </w:r>
          </w:p>
        </w:tc>
      </w:tr>
      <w:tr>
        <w:trPr>
          <w:cantSplit/>
          <w:tblHeader w:val="off"/>
        </w:trPr>
        <w:tc>
          <w:tcPr>
            <w:tcW w:type="dxa" w:w="176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Dynamical systems</w:t>
            </w:r>
          </w:p>
        </w:tc>
        <w:tc>
          <w:tcPr>
            <w:tcW w:type="dxa" w:w="269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Mutual influence over time</w:t>
            </w:r>
          </w:p>
        </w:tc>
        <w:tc>
          <w:tcPr>
            <w:tcW w:type="dxa" w:w="261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Functional form of coupling</w:t>
            </w:r>
          </w:p>
        </w:tc>
        <w:tc>
          <w:tcPr>
            <w:tcW w:type="dxa" w:w="228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Overfitting short series</w:t>
            </w:r>
          </w:p>
        </w:tc>
      </w:tr>
    </w:tbl>
    <w:p>
      <w:pPr>
        <w:spacing w:after="200"/>
      </w:pP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6. Validation requirements</w:t>
      </w:r>
    </w:p>
    <w:p>
      <w:pPr>
        <w:spacing w:after="150" w:line="292"/>
        <w:jc w:val="both"/>
      </w:pPr>
      <w:r>
        <w:rPr>
          <w:rFonts w:ascii="Times New Roman" w:cs="Times New Roman" w:eastAsia="Times New Roman" w:hAnsi="Times New Roman"/>
          <w:sz w:val="23"/>
          <w:szCs w:val="23"/>
        </w:rPr>
        <w:t xml:space="preserve">A model is useful for science only if it can be wrong in a detectable way. Any Seductics model must meet the following requirements before its outputs are interpreted.</w:t>
      </w:r>
    </w:p>
    <w:p>
      <w:pPr>
        <w:pStyle w:val="Heading2"/>
        <w:keepNext/>
        <w:spacing w:after="100" w:before="240"/>
      </w:pPr>
      <w:r>
        <w:rPr>
          <w:rFonts w:ascii="Times New Roman" w:cs="Times New Roman" w:eastAsia="Times New Roman" w:hAnsi="Times New Roman"/>
          <w:b/>
          <w:bCs/>
          <w:color w:val="1F3A5F"/>
          <w:sz w:val="24"/>
          <w:szCs w:val="24"/>
        </w:rPr>
        <w:t xml:space="preserve">6.1 Identifiability</w:t>
      </w:r>
    </w:p>
    <w:p>
      <w:pPr>
        <w:spacing w:after="150" w:line="292"/>
        <w:jc w:val="both"/>
      </w:pPr>
      <w:r>
        <w:rPr>
          <w:rFonts w:ascii="Times New Roman" w:cs="Times New Roman" w:eastAsia="Times New Roman" w:hAnsi="Times New Roman"/>
          <w:sz w:val="23"/>
          <w:szCs w:val="23"/>
        </w:rPr>
        <w:t xml:space="preserve">A parameter is </w:t>
      </w:r>
      <w:r>
        <w:rPr>
          <w:rFonts w:ascii="Times New Roman" w:cs="Times New Roman" w:eastAsia="Times New Roman" w:hAnsi="Times New Roman"/>
          <w:i/>
          <w:iCs/>
          <w:sz w:val="23"/>
          <w:szCs w:val="23"/>
        </w:rPr>
        <w:t xml:space="preserve">structurally identifiable</w:t>
      </w:r>
      <w:r>
        <w:rPr>
          <w:rFonts w:ascii="Times New Roman" w:cs="Times New Roman" w:eastAsia="Times New Roman" w:hAnsi="Times New Roman"/>
          <w:sz w:val="23"/>
          <w:szCs w:val="23"/>
        </w:rPr>
        <w:t xml:space="preserve"> if different values produce different data distributions, and </w:t>
      </w:r>
      <w:r>
        <w:rPr>
          <w:rFonts w:ascii="Times New Roman" w:cs="Times New Roman" w:eastAsia="Times New Roman" w:hAnsi="Times New Roman"/>
          <w:i/>
          <w:iCs/>
          <w:sz w:val="23"/>
          <w:szCs w:val="23"/>
        </w:rPr>
        <w:t xml:space="preserve">practically identifiable</w:t>
      </w:r>
      <w:r>
        <w:rPr>
          <w:rFonts w:ascii="Times New Roman" w:cs="Times New Roman" w:eastAsia="Times New Roman" w:hAnsi="Times New Roman"/>
          <w:sz w:val="23"/>
          <w:szCs w:val="23"/>
        </w:rPr>
        <w:t xml:space="preserve"> if available data estimate it with useful precision (Raue et al., 2009). Section 5.5 showed a structural non-identifiability; hidden-state and dynamical models often have practical ones, in which several parameter combinations fit equally well. Profile-likelihood or posterior analyses should be reported for every interpreted parameter, and unidentifiable parameters should not be given substantive names.</w:t>
      </w:r>
    </w:p>
    <w:p>
      <w:pPr>
        <w:pStyle w:val="Heading2"/>
        <w:keepNext/>
        <w:spacing w:after="100" w:before="240"/>
      </w:pPr>
      <w:r>
        <w:rPr>
          <w:rFonts w:ascii="Times New Roman" w:cs="Times New Roman" w:eastAsia="Times New Roman" w:hAnsi="Times New Roman"/>
          <w:b/>
          <w:bCs/>
          <w:color w:val="1F3A5F"/>
          <w:sz w:val="24"/>
          <w:szCs w:val="24"/>
        </w:rPr>
        <w:t xml:space="preserve">6.2 Measurement validity</w:t>
      </w:r>
    </w:p>
    <w:p>
      <w:pPr>
        <w:spacing w:after="150" w:line="292"/>
        <w:jc w:val="both"/>
      </w:pPr>
      <w:r>
        <w:rPr>
          <w:rFonts w:ascii="Times New Roman" w:cs="Times New Roman" w:eastAsia="Times New Roman" w:hAnsi="Times New Roman"/>
          <w:sz w:val="23"/>
          <w:szCs w:val="23"/>
        </w:rPr>
        <w:t xml:space="preserve">Each input and outcome needs evidence of reliability, construct validity (Section 4.1) and </w:t>
      </w:r>
      <w:r>
        <w:rPr>
          <w:rFonts w:ascii="Times New Roman" w:cs="Times New Roman" w:eastAsia="Times New Roman" w:hAnsi="Times New Roman"/>
          <w:i/>
          <w:iCs/>
          <w:sz w:val="23"/>
          <w:szCs w:val="23"/>
        </w:rPr>
        <w:t xml:space="preserve">measurement invariance</w:t>
      </w:r>
      <w:r>
        <w:rPr>
          <w:rFonts w:ascii="Times New Roman" w:cs="Times New Roman" w:eastAsia="Times New Roman" w:hAnsi="Times New Roman"/>
          <w:sz w:val="23"/>
          <w:szCs w:val="23"/>
        </w:rPr>
        <w:t xml:space="preserve">, meaning that it measures the same thing across the groups compared. Self-report dominates the literature (Joel et al., 2020); behavioral traces such as message timing are not automatically more valid, because their meaning depends on context, platform and culture.</w:t>
      </w:r>
    </w:p>
    <w:p>
      <w:pPr>
        <w:pStyle w:val="Heading2"/>
        <w:keepNext/>
        <w:spacing w:after="100" w:before="240"/>
      </w:pPr>
      <w:r>
        <w:rPr>
          <w:rFonts w:ascii="Times New Roman" w:cs="Times New Roman" w:eastAsia="Times New Roman" w:hAnsi="Times New Roman"/>
          <w:b/>
          <w:bCs/>
          <w:color w:val="1F3A5F"/>
          <w:sz w:val="24"/>
          <w:szCs w:val="24"/>
        </w:rPr>
        <w:t xml:space="preserve">6.3 Discrimination, calibration and proper scoring</w:t>
      </w:r>
    </w:p>
    <w:p>
      <w:pPr>
        <w:spacing w:after="150" w:line="292"/>
        <w:jc w:val="both"/>
      </w:pPr>
      <w:r>
        <w:rPr>
          <w:rFonts w:ascii="Times New Roman" w:cs="Times New Roman" w:eastAsia="Times New Roman" w:hAnsi="Times New Roman"/>
          <w:sz w:val="23"/>
          <w:szCs w:val="23"/>
        </w:rPr>
        <w:t xml:space="preserve">Probabilistic predictions should be evaluated with </w:t>
      </w:r>
      <w:r>
        <w:rPr>
          <w:rFonts w:ascii="Times New Roman" w:cs="Times New Roman" w:eastAsia="Times New Roman" w:hAnsi="Times New Roman"/>
          <w:i/>
          <w:iCs/>
          <w:sz w:val="23"/>
          <w:szCs w:val="23"/>
        </w:rPr>
        <w:t xml:space="preserve">proper scoring rules</w:t>
      </w:r>
      <w:r>
        <w:rPr>
          <w:rFonts w:ascii="Times New Roman" w:cs="Times New Roman" w:eastAsia="Times New Roman" w:hAnsi="Times New Roman"/>
          <w:sz w:val="23"/>
          <w:szCs w:val="23"/>
        </w:rPr>
        <w:t xml:space="preserve">, which are optimized in expectation only by reporting one's true probabilities, such as the Brier score (mean squared error of probability forecasts) and the logarithmic score (Gneiting &amp; Raftery, 2007). Discrimination and calibration should both be reported: a model can rank cases well yet give systematically wrong probabilities (Van Calster et al., 2019). Calibration should be assessed overall and within subgroups.</w:t>
      </w:r>
    </w:p>
    <w:p>
      <w:pPr>
        <w:pStyle w:val="Heading2"/>
        <w:keepNext/>
        <w:spacing w:after="100" w:before="240"/>
      </w:pPr>
      <w:r>
        <w:rPr>
          <w:rFonts w:ascii="Times New Roman" w:cs="Times New Roman" w:eastAsia="Times New Roman" w:hAnsi="Times New Roman"/>
          <w:b/>
          <w:bCs/>
          <w:color w:val="1F3A5F"/>
          <w:sz w:val="24"/>
          <w:szCs w:val="24"/>
        </w:rPr>
        <w:t xml:space="preserve">6.4 Out-of-sample validation and overfitting</w:t>
      </w:r>
    </w:p>
    <w:p>
      <w:pPr>
        <w:spacing w:after="150" w:line="292"/>
        <w:jc w:val="both"/>
      </w:pPr>
      <w:r>
        <w:rPr>
          <w:rFonts w:ascii="Times New Roman" w:cs="Times New Roman" w:eastAsia="Times New Roman" w:hAnsi="Times New Roman"/>
          <w:sz w:val="23"/>
          <w:szCs w:val="23"/>
        </w:rPr>
        <w:t xml:space="preserve">Models evaluated on the data used to fit them overstate accuracy, most of all when predictors are many relative to cases (Babyak, 2004; Yarkoni &amp; Westfall, 2017). In 200 simulated replications, a linear model was fitted to 60 couples using 20 pure-noise predictors and a binary outcome with base rate 0.30, independent of all predictors. Mean in-sample AUC was 0.869 (95% of replications between 0.789 and 0.953), suggesting strong discrimination; on 500 new simulated couples it was 0.498 (0.435 to 0.553), which is chance. Small couples studies with many observational codes are exactly this setting, which is why cross-validation changes the picture in divorce prediction (Heyman &amp; Slep, 2001). Validation should use held-out data, ideally from another time or site, and compare the model with a simple benchmark (Salganik et al., 2020).</w:t>
      </w:r>
    </w:p>
    <w:p>
      <w:pPr>
        <w:pStyle w:val="Heading2"/>
        <w:keepNext/>
        <w:spacing w:after="100" w:before="240"/>
      </w:pPr>
      <w:r>
        <w:rPr>
          <w:rFonts w:ascii="Times New Roman" w:cs="Times New Roman" w:eastAsia="Times New Roman" w:hAnsi="Times New Roman"/>
          <w:b/>
          <w:bCs/>
          <w:color w:val="1F3A5F"/>
          <w:sz w:val="24"/>
          <w:szCs w:val="24"/>
        </w:rPr>
        <w:t xml:space="preserve">6.5 Base rates</w:t>
      </w:r>
    </w:p>
    <w:p>
      <w:pPr>
        <w:spacing w:after="150" w:line="292"/>
        <w:jc w:val="both"/>
      </w:pPr>
      <w:r>
        <w:rPr>
          <w:rFonts w:ascii="Times New Roman" w:cs="Times New Roman" w:eastAsia="Times New Roman" w:hAnsi="Times New Roman"/>
          <w:sz w:val="23"/>
          <w:szCs w:val="23"/>
        </w:rPr>
        <w:t xml:space="preserve">The value of a prediction depends on how common the outcome is, and people tend to neglect base rates when judging predictive evidence (Kahneman &amp; Tversky, 1973). Table 6 shows, for a hypothetical classifier that correctly identifies 80% of relationships that will end within a year and 80% of those that will not, the share of positive predictions that are correct (</w:t>
      </w:r>
      <w:r>
        <w:rPr>
          <w:rFonts w:ascii="Times New Roman" w:cs="Times New Roman" w:eastAsia="Times New Roman" w:hAnsi="Times New Roman"/>
          <w:i/>
          <w:iCs/>
          <w:sz w:val="23"/>
          <w:szCs w:val="23"/>
        </w:rPr>
        <w:t xml:space="preserve">positive predictive value</w:t>
      </w:r>
      <w:r>
        <w:rPr>
          <w:rFonts w:ascii="Times New Roman" w:cs="Times New Roman" w:eastAsia="Times New Roman" w:hAnsi="Times New Roman"/>
          <w:sz w:val="23"/>
          <w:szCs w:val="23"/>
        </w:rPr>
        <w:t xml:space="preserve">, PPV) and of negative predictions that are correct (</w:t>
      </w:r>
      <w:r>
        <w:rPr>
          <w:rFonts w:ascii="Times New Roman" w:cs="Times New Roman" w:eastAsia="Times New Roman" w:hAnsi="Times New Roman"/>
          <w:i/>
          <w:iCs/>
          <w:sz w:val="23"/>
          <w:szCs w:val="23"/>
        </w:rPr>
        <w:t xml:space="preserve">negative predictive value</w:t>
      </w:r>
      <w:r>
        <w:rPr>
          <w:rFonts w:ascii="Times New Roman" w:cs="Times New Roman" w:eastAsia="Times New Roman" w:hAnsi="Times New Roman"/>
          <w:sz w:val="23"/>
          <w:szCs w:val="23"/>
        </w:rPr>
        <w:t xml:space="preserve">, NPV).</w:t>
      </w:r>
    </w:p>
    <w:p>
      <w:pPr>
        <w:keepNext/>
        <w:spacing w:after="80" w:before="200"/>
      </w:pPr>
      <w:r>
        <w:rPr>
          <w:rFonts w:ascii="Arial" w:cs="Arial" w:eastAsia="Arial" w:hAnsi="Arial"/>
          <w:b/>
          <w:bCs/>
          <w:color w:val="33465C"/>
          <w:sz w:val="17"/>
          <w:szCs w:val="17"/>
        </w:rPr>
        <w:t xml:space="preserve">Table 6.</w:t>
      </w:r>
      <w:r>
        <w:rPr>
          <w:rFonts w:ascii="Arial" w:cs="Arial" w:eastAsia="Arial" w:hAnsi="Arial"/>
          <w:color w:val="33465C"/>
          <w:sz w:val="17"/>
          <w:szCs w:val="17"/>
        </w:rPr>
        <w:t xml:space="preserve"> Predictive values of an illustrative classifier with 80% sensitivity and 80% specificity.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cantSplit/>
          <w:tblHeader/>
        </w:trPr>
        <w:tc>
          <w:tcPr>
            <w:tcW w:type="dxa" w:w="187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Base rate</w:t>
            </w:r>
          </w:p>
        </w:tc>
        <w:tc>
          <w:tcPr>
            <w:tcW w:type="dxa" w:w="187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PPV</w:t>
            </w:r>
          </w:p>
        </w:tc>
        <w:tc>
          <w:tcPr>
            <w:tcW w:type="dxa" w:w="187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NPV</w:t>
            </w:r>
          </w:p>
        </w:tc>
        <w:tc>
          <w:tcPr>
            <w:tcW w:type="dxa" w:w="187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Correct positives per 1,000</w:t>
            </w:r>
          </w:p>
        </w:tc>
        <w:tc>
          <w:tcPr>
            <w:tcW w:type="dxa" w:w="1872"/>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False positives per 1,000</w:t>
            </w:r>
          </w:p>
        </w:tc>
      </w:tr>
      <w:tr>
        <w:trPr>
          <w:cantSplit/>
          <w:tblHeader w:val="off"/>
        </w:trPr>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0.05</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0.174</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0.987</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40</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190</w:t>
            </w:r>
          </w:p>
        </w:tc>
      </w:tr>
      <w:tr>
        <w:trPr>
          <w:cantSplit/>
          <w:tblHeader w:val="off"/>
        </w:trPr>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0.20</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0.500</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0.941</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160</w:t>
            </w:r>
          </w:p>
        </w:tc>
        <w:tc>
          <w:tcPr>
            <w:tcW w:type="dxa" w:w="1872"/>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160</w:t>
            </w:r>
          </w:p>
        </w:tc>
      </w:tr>
      <w:tr>
        <w:trPr>
          <w:cantSplit/>
          <w:tblHeader w:val="off"/>
        </w:trPr>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0.50</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0.800</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0.800</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400</w:t>
            </w:r>
          </w:p>
        </w:tc>
        <w:tc>
          <w:tcPr>
            <w:tcW w:type="dxa" w:w="1872"/>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100</w:t>
            </w:r>
          </w:p>
        </w:tc>
      </w:tr>
    </w:tbl>
    <w:p>
      <w:pPr>
        <w:spacing w:after="200"/>
      </w:pPr>
    </w:p>
    <w:p>
      <w:pPr>
        <w:spacing w:after="150" w:line="292"/>
        <w:jc w:val="both"/>
      </w:pPr>
      <w:r>
        <w:rPr>
          <w:rFonts w:ascii="Times New Roman" w:cs="Times New Roman" w:eastAsia="Times New Roman" w:hAnsi="Times New Roman"/>
          <w:sz w:val="23"/>
          <w:szCs w:val="23"/>
        </w:rPr>
        <w:t xml:space="preserve">At a 5% base rate, more than four of five relationships flagged as likely to end would not end. Accuracy claims must state the base rate of the population concerned, and base rates differ greatly across settings: a 4% chance of a relationship with a given speed-dating partner (Asendorpf et al., 2011) says nothing about dissolution among established couples.</w:t>
      </w:r>
    </w:p>
    <w:p>
      <w:pPr>
        <w:pStyle w:val="Heading2"/>
        <w:keepNext/>
        <w:spacing w:after="100" w:before="240"/>
      </w:pPr>
      <w:r>
        <w:rPr>
          <w:rFonts w:ascii="Times New Roman" w:cs="Times New Roman" w:eastAsia="Times New Roman" w:hAnsi="Times New Roman"/>
          <w:b/>
          <w:bCs/>
          <w:color w:val="1F3A5F"/>
          <w:sz w:val="24"/>
          <w:szCs w:val="24"/>
        </w:rPr>
        <w:t xml:space="preserve">6.6 Pre-registration, transparency and reporting</w:t>
      </w:r>
    </w:p>
    <w:p>
      <w:pPr>
        <w:spacing w:after="150" w:line="292"/>
        <w:jc w:val="both"/>
      </w:pPr>
      <w:r>
        <w:rPr>
          <w:rFonts w:ascii="Times New Roman" w:cs="Times New Roman" w:eastAsia="Times New Roman" w:hAnsi="Times New Roman"/>
          <w:sz w:val="23"/>
          <w:szCs w:val="23"/>
        </w:rPr>
        <w:t xml:space="preserve">Large replication efforts found that a substantial share of published psychological findings do not replicate at their original strength (Open Science Collaboration, 2015), and analytic flexibility can make almost any result appear significant (Simmons et al., 2011). Pre-registration of hypotheses, outcomes, model specifications and metrics separates confirmatory tests from exploration (Nosek et al., 2018). Reporting guidelines for prediction models specify what must be disclosed about data, predictors, missing data, development and validation (Collins et al., 2015); the Institute intends to follow them, adapted as needed, in any prediction research.</w:t>
      </w:r>
    </w:p>
    <w:p>
      <w:pPr>
        <w:pStyle w:val="Heading2"/>
        <w:keepNext/>
        <w:spacing w:after="100" w:before="240"/>
      </w:pPr>
      <w:r>
        <w:rPr>
          <w:rFonts w:ascii="Times New Roman" w:cs="Times New Roman" w:eastAsia="Times New Roman" w:hAnsi="Times New Roman"/>
          <w:b/>
          <w:bCs/>
          <w:color w:val="1F3A5F"/>
          <w:sz w:val="24"/>
          <w:szCs w:val="24"/>
        </w:rPr>
        <w:t xml:space="preserve">6.7 Fairness and generalizability across groups</w:t>
      </w:r>
    </w:p>
    <w:p>
      <w:pPr>
        <w:spacing w:after="150" w:line="292"/>
        <w:jc w:val="both"/>
      </w:pPr>
      <w:r>
        <w:rPr>
          <w:rFonts w:ascii="Times New Roman" w:cs="Times New Roman" w:eastAsia="Times New Roman" w:hAnsi="Times New Roman"/>
          <w:sz w:val="23"/>
          <w:szCs w:val="23"/>
        </w:rPr>
        <w:t xml:space="preserve">Prediction models can encode disparities. A widely used health algorithm that predicted care costs as a proxy for need systematically underestimated the needs of Black patients (Obermeyer et al., 2019), a failure arising from the choice of target variable rather than the technique. When base rates differ between groups, a calibrated score generally cannot equalize false-positive and false-negative rates, so fairness criteria must be chosen explicitly (Chouldechova, 2017). Most relevant samples are Western, educated, industrialized, rich and democratic (Henrich et al., 2010), and several key attraction studies cited here involve heterosexual dyads only (Joel et al., 2017; Bruch &amp; Newman, 2018). Longitudinal comparison of gay, lesbian and heterosexual couples has found largely similar processes predicting relationship quality and stability (Kurdek, 2004), but this cannot be assumed for every model. Models must be evaluated across gender identities, sexual orientations, cultures, ages and relationship structures, including non-monogamous relationships, and not applied outside the populations in which they were validated.</w:t>
      </w:r>
    </w:p>
    <w:p>
      <w:pPr>
        <w:pStyle w:val="Heading2"/>
        <w:keepNext/>
        <w:spacing w:after="100" w:before="240"/>
      </w:pPr>
      <w:r>
        <w:rPr>
          <w:rFonts w:ascii="Times New Roman" w:cs="Times New Roman" w:eastAsia="Times New Roman" w:hAnsi="Times New Roman"/>
          <w:b/>
          <w:bCs/>
          <w:color w:val="1F3A5F"/>
          <w:sz w:val="24"/>
          <w:szCs w:val="24"/>
        </w:rPr>
        <w:t xml:space="preserve">6.8 Reactivity and Goodhart's law</w:t>
      </w:r>
    </w:p>
    <w:p>
      <w:pPr>
        <w:spacing w:after="150" w:line="292"/>
        <w:jc w:val="both"/>
      </w:pPr>
      <w:r>
        <w:rPr>
          <w:rFonts w:ascii="Times New Roman" w:cs="Times New Roman" w:eastAsia="Times New Roman" w:hAnsi="Times New Roman"/>
          <w:sz w:val="23"/>
          <w:szCs w:val="23"/>
        </w:rPr>
        <w:t xml:space="preserve">People who know they are measured, or learn which behaviors a model rewards, change their behavior; when a measure becomes a target, it tends to lose its value as a measure (Strathern, 1997). A published "communication index", for instance, would invite people to manage their message timing to raise their score, breaking any relation the index had to genuine interest. This is a further reason the Institute does not publish scoring tools for individuals and treats validated research measures as descriptions of populations, not levers.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7. Evidence at a glance</w:t>
      </w:r>
    </w:p>
    <w:p>
      <w:pPr>
        <w:keepNext/>
        <w:spacing w:after="80" w:before="200"/>
      </w:pPr>
      <w:r>
        <w:rPr>
          <w:rFonts w:ascii="Arial" w:cs="Arial" w:eastAsia="Arial" w:hAnsi="Arial"/>
          <w:b/>
          <w:bCs/>
          <w:color w:val="33465C"/>
          <w:sz w:val="17"/>
          <w:szCs w:val="17"/>
        </w:rPr>
        <w:t xml:space="preserve">Table 7.</w:t>
      </w:r>
      <w:r>
        <w:rPr>
          <w:rFonts w:ascii="Arial" w:cs="Arial" w:eastAsia="Arial" w:hAnsi="Arial"/>
          <w:color w:val="33465C"/>
          <w:sz w:val="17"/>
          <w:szCs w:val="17"/>
        </w:rPr>
        <w:t xml:space="preserve"> Evidence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45"/>
        <w:gridCol w:w="805"/>
        <w:gridCol w:w="2351"/>
        <w:gridCol w:w="2359"/>
      </w:tblGrid>
      <w:tr>
        <w:trPr>
          <w:cantSplit/>
          <w:tblHeader/>
        </w:trPr>
        <w:tc>
          <w:tcPr>
            <w:tcW w:type="dxa" w:w="3845"/>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Claim</w:t>
            </w:r>
          </w:p>
        </w:tc>
        <w:tc>
          <w:tcPr>
            <w:tcW w:type="dxa" w:w="805"/>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Evidence strength</w:t>
            </w:r>
          </w:p>
        </w:tc>
        <w:tc>
          <w:tcPr>
            <w:tcW w:type="dxa" w:w="2351"/>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Representative sources</w:t>
            </w:r>
          </w:p>
        </w:tc>
        <w:tc>
          <w:tcPr>
            <w:tcW w:type="dxa" w:w="2359"/>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Principal limitation</w:t>
            </w:r>
          </w:p>
        </w:tc>
      </w:tr>
      <w:tr>
        <w:trPr>
          <w:cantSplit/>
          <w:tblHeader w:val="off"/>
        </w:trPr>
        <w:tc>
          <w:tcPr>
            <w:tcW w:type="dxa" w:w="384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Formal models of romantic dynamics are decades old</w:t>
            </w:r>
          </w:p>
        </w:tc>
        <w:tc>
          <w:tcPr>
            <w:tcW w:type="dxa" w:w="80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Established</w:t>
            </w:r>
          </w:p>
        </w:tc>
        <w:tc>
          <w:tcPr>
            <w:tcW w:type="dxa" w:w="2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Strogatz (1988); Felmlee and Greenberg (1999); Gottman et al. (1999)</w:t>
            </w:r>
          </w:p>
        </w:tc>
        <w:tc>
          <w:tcPr>
            <w:tcW w:type="dxa" w:w="235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Mostly theoretical or small samples</w:t>
            </w:r>
          </w:p>
        </w:tc>
      </w:tr>
      <w:tr>
        <w:trPr>
          <w:cantSplit/>
          <w:tblHeader w:val="off"/>
        </w:trPr>
        <w:tc>
          <w:tcPr>
            <w:tcW w:type="dxa" w:w="384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Statistical rules match or beat unaided judgment</w:t>
            </w:r>
          </w:p>
        </w:tc>
        <w:tc>
          <w:tcPr>
            <w:tcW w:type="dxa" w:w="80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Established</w:t>
            </w:r>
          </w:p>
        </w:tc>
        <w:tc>
          <w:tcPr>
            <w:tcW w:type="dxa" w:w="235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Meehl (1954); Dawes (1979); Grove et al. (2000)</w:t>
            </w:r>
          </w:p>
        </w:tc>
        <w:tc>
          <w:tcPr>
            <w:tcW w:type="dxa" w:w="235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Few romantic-domain tests</w:t>
            </w:r>
          </w:p>
        </w:tc>
      </w:tr>
      <w:tr>
        <w:trPr>
          <w:cantSplit/>
          <w:tblHeader w:val="off"/>
        </w:trPr>
        <w:tc>
          <w:tcPr>
            <w:tcW w:type="dxa" w:w="384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Relationship-specific initial desire is hard to predict before meeting</w:t>
            </w:r>
          </w:p>
        </w:tc>
        <w:tc>
          <w:tcPr>
            <w:tcW w:type="dxa" w:w="80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Joel et al. (2017); Eastwick and Hunt (2014)</w:t>
            </w:r>
          </w:p>
        </w:tc>
        <w:tc>
          <w:tcPr>
            <w:tcW w:type="dxa" w:w="235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Heterosexual speed-dating samples</w:t>
            </w:r>
          </w:p>
        </w:tc>
      </w:tr>
      <w:tr>
        <w:trPr>
          <w:cantSplit/>
          <w:tblHeader w:val="off"/>
        </w:trPr>
        <w:tc>
          <w:tcPr>
            <w:tcW w:type="dxa" w:w="384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Relationship perceptions predict current quality; change is largely unpredictable</w:t>
            </w:r>
          </w:p>
        </w:tc>
        <w:tc>
          <w:tcPr>
            <w:tcW w:type="dxa" w:w="80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35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Joel et al. (2020); Le et al. (2010)</w:t>
            </w:r>
          </w:p>
        </w:tc>
        <w:tc>
          <w:tcPr>
            <w:tcW w:type="dxa" w:w="235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Self-report; mainly WEIRD samples</w:t>
            </w:r>
          </w:p>
        </w:tc>
      </w:tr>
      <w:tr>
        <w:trPr>
          <w:cantSplit/>
          <w:tblHeader w:val="off"/>
        </w:trPr>
        <w:tc>
          <w:tcPr>
            <w:tcW w:type="dxa" w:w="384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High divorce-prediction accuracy survives cross-validation</w:t>
            </w:r>
          </w:p>
        </w:tc>
        <w:tc>
          <w:tcPr>
            <w:tcW w:type="dxa" w:w="80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Gottman and Levenson (2000); Heyman and Slep (2001); Stanley et al. (2000)</w:t>
            </w:r>
          </w:p>
        </w:tc>
        <w:tc>
          <w:tcPr>
            <w:tcW w:type="dxa" w:w="235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Few independent prospective tests</w:t>
            </w:r>
          </w:p>
        </w:tc>
      </w:tr>
      <w:tr>
        <w:trPr>
          <w:cantSplit/>
          <w:tblHeader w:val="off"/>
        </w:trPr>
        <w:tc>
          <w:tcPr>
            <w:tcW w:type="dxa" w:w="384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Interactions within a dyad are not independent trials</w:t>
            </w:r>
          </w:p>
        </w:tc>
        <w:tc>
          <w:tcPr>
            <w:tcW w:type="dxa" w:w="80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35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Eastwick et al. (2007); Kenny et al. (2006); Butler (2011)</w:t>
            </w:r>
          </w:p>
        </w:tc>
        <w:tc>
          <w:tcPr>
            <w:tcW w:type="dxa" w:w="235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Dependence varies by context</w:t>
            </w:r>
          </w:p>
        </w:tc>
      </w:tr>
      <w:tr>
        <w:trPr>
          <w:cantSplit/>
          <w:tblHeader w:val="off"/>
        </w:trPr>
        <w:tc>
          <w:tcPr>
            <w:tcW w:type="dxa" w:w="384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More contact steadily increases attraction</w:t>
            </w:r>
          </w:p>
        </w:tc>
        <w:tc>
          <w:tcPr>
            <w:tcW w:type="dxa" w:w="80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Bornstein (1989); Norton et al. (2007); Reis et al. (2011)</w:t>
            </w:r>
          </w:p>
        </w:tc>
        <w:tc>
          <w:tcPr>
            <w:tcW w:type="dxa" w:w="235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Boundary conditions unresolved</w:t>
            </w:r>
          </w:p>
        </w:tc>
      </w:tr>
      <w:tr>
        <w:trPr>
          <w:cantSplit/>
          <w:tblHeader w:val="off"/>
        </w:trPr>
        <w:tc>
          <w:tcPr>
            <w:tcW w:type="dxa" w:w="384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Strategic timing raises the probability of interest</w:t>
            </w:r>
          </w:p>
        </w:tc>
        <w:tc>
          <w:tcPr>
            <w:tcW w:type="dxa" w:w="80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Speculative</w:t>
            </w:r>
          </w:p>
        </w:tc>
        <w:tc>
          <w:tcPr>
            <w:tcW w:type="dxa" w:w="235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Whitchurch et al. (2011)</w:t>
            </w:r>
          </w:p>
        </w:tc>
        <w:tc>
          <w:tcPr>
            <w:tcW w:type="dxa" w:w="235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 direct test of spacing</w:t>
            </w:r>
          </w:p>
        </w:tc>
      </w:tr>
      <w:tr>
        <w:trPr>
          <w:cantSplit/>
          <w:tblHeader w:val="off"/>
        </w:trPr>
        <w:tc>
          <w:tcPr>
            <w:tcW w:type="dxa" w:w="384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Attachment types map onto fixed score profiles</w:t>
            </w:r>
          </w:p>
        </w:tc>
        <w:tc>
          <w:tcPr>
            <w:tcW w:type="dxa" w:w="80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Speculative</w:t>
            </w:r>
          </w:p>
        </w:tc>
        <w:tc>
          <w:tcPr>
            <w:tcW w:type="dxa" w:w="2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Hazan and Shaver (1987); Fraley (2002)</w:t>
            </w:r>
          </w:p>
        </w:tc>
        <w:tc>
          <w:tcPr>
            <w:tcW w:type="dxa" w:w="235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Attachment is dimensional and changeable</w:t>
            </w:r>
          </w:p>
        </w:tc>
      </w:tr>
      <w:tr>
        <w:trPr>
          <w:cantSplit/>
          <w:tblHeader w:val="off"/>
        </w:trPr>
        <w:tc>
          <w:tcPr>
            <w:tcW w:type="dxa" w:w="384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Trajectories form a few discrete curves</w:t>
            </w:r>
          </w:p>
        </w:tc>
        <w:tc>
          <w:tcPr>
            <w:tcW w:type="dxa" w:w="80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Speculative</w:t>
            </w:r>
          </w:p>
        </w:tc>
        <w:tc>
          <w:tcPr>
            <w:tcW w:type="dxa" w:w="235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Nagin (1999); Bauer and Curran (2003)</w:t>
            </w:r>
          </w:p>
        </w:tc>
        <w:tc>
          <w:tcPr>
            <w:tcW w:type="dxa" w:w="235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Spurious class extraction</w:t>
            </w:r>
          </w:p>
        </w:tc>
      </w:tr>
      <w:tr>
        <w:trPr>
          <w:cantSplit/>
          <w:tblHeader w:val="off"/>
        </w:trPr>
        <w:tc>
          <w:tcPr>
            <w:tcW w:type="dxa" w:w="384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Actor, partner and relationship variance are separable</w:t>
            </w:r>
          </w:p>
        </w:tc>
        <w:tc>
          <w:tcPr>
            <w:tcW w:type="dxa" w:w="805"/>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Established</w:t>
            </w:r>
          </w:p>
        </w:tc>
        <w:tc>
          <w:tcPr>
            <w:tcW w:type="dxa" w:w="2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Kenny and La Voie (1984); Back et al. (2011); Asendorpf et al. (2011)</w:t>
            </w:r>
          </w:p>
        </w:tc>
        <w:tc>
          <w:tcPr>
            <w:tcW w:type="dxa" w:w="235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Requires round-robin or repeated designs</w:t>
            </w:r>
          </w:p>
        </w:tc>
      </w:tr>
      <w:tr>
        <w:trPr>
          <w:cantSplit/>
          <w:tblHeader w:val="off"/>
        </w:trPr>
        <w:tc>
          <w:tcPr>
            <w:tcW w:type="dxa" w:w="384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Prediction models can create unfairness and privacy harms</w:t>
            </w:r>
          </w:p>
        </w:tc>
        <w:tc>
          <w:tcPr>
            <w:tcW w:type="dxa" w:w="805"/>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35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Obermeyer et al. (2019); Chouldechova (2017); Kosinski et al. (2013)</w:t>
            </w:r>
          </w:p>
        </w:tc>
        <w:tc>
          <w:tcPr>
            <w:tcW w:type="dxa" w:w="235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Evidence mainly from other domains</w:t>
            </w:r>
          </w:p>
        </w:tc>
      </w:tr>
    </w:tbl>
    <w:p>
      <w:pPr>
        <w:spacing w:after="200"/>
      </w:pP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8. A staged validation roadmap</w:t>
      </w:r>
    </w:p>
    <w:p>
      <w:pPr>
        <w:spacing w:after="150" w:line="292"/>
        <w:jc w:val="both"/>
      </w:pPr>
      <w:r>
        <w:rPr>
          <w:rFonts w:ascii="Times New Roman" w:cs="Times New Roman" w:eastAsia="Times New Roman" w:hAnsi="Times New Roman"/>
          <w:sz w:val="23"/>
          <w:szCs w:val="23"/>
        </w:rPr>
        <w:t xml:space="preserve">The framework would be tested in stages, each with a failure condition fixed in advance. A component that fails is revised and retested in new data or abandoned, not carried forward on the strength of theory. Thresholds below illustrate the kind of criterion each pre-registration would fix.</w:t>
      </w:r>
    </w:p>
    <w:p>
      <w:pPr>
        <w:pStyle w:val="ListParagraph"/>
        <w:numPr>
          <w:ilvl w:val="0"/>
          <w:numId w:val="2"/>
        </w:numPr>
        <w:spacing w:after="70" w:line="290"/>
      </w:pPr>
      <w:r>
        <w:rPr>
          <w:rFonts w:ascii="Times New Roman" w:cs="Times New Roman" w:eastAsia="Times New Roman" w:hAnsi="Times New Roman"/>
          <w:b/>
          <w:bCs/>
          <w:sz w:val="23"/>
          <w:szCs w:val="23"/>
        </w:rPr>
        <w:t xml:space="preserve">Stage 0: specification.</w:t>
      </w:r>
      <w:r>
        <w:rPr>
          <w:rFonts w:ascii="Times New Roman" w:cs="Times New Roman" w:eastAsia="Times New Roman" w:hAnsi="Times New Roman"/>
          <w:sz w:val="23"/>
          <w:szCs w:val="23"/>
        </w:rPr>
        <w:t xml:space="preserve"> Define states, outcomes and covariates operationally, with dyadic, consent-based outcomes only; specify models, priors, metrics and benchmarks; pre-register. Failure: states cannot be coded reliably (for example, inter-rater agreement below a pre-specified Cohen's κ such as 0.70), requiring revised definitions before any modeling.</w:t>
      </w:r>
    </w:p>
    <w:p>
      <w:pPr>
        <w:pStyle w:val="ListParagraph"/>
        <w:numPr>
          <w:ilvl w:val="0"/>
          <w:numId w:val="2"/>
        </w:numPr>
        <w:spacing w:after="70" w:line="290"/>
      </w:pPr>
      <w:r>
        <w:rPr>
          <w:rFonts w:ascii="Times New Roman" w:cs="Times New Roman" w:eastAsia="Times New Roman" w:hAnsi="Times New Roman"/>
          <w:b/>
          <w:bCs/>
          <w:sz w:val="23"/>
          <w:szCs w:val="23"/>
        </w:rPr>
        <w:t xml:space="preserve">Stage 1: measurement.</w:t>
      </w:r>
      <w:r>
        <w:rPr>
          <w:rFonts w:ascii="Times New Roman" w:cs="Times New Roman" w:eastAsia="Times New Roman" w:hAnsi="Times New Roman"/>
          <w:sz w:val="23"/>
          <w:szCs w:val="23"/>
        </w:rPr>
        <w:t xml:space="preserve"> Establish reliability, construct validity, incremental validity and measurement invariance for every proposed index. Failure: no incremental validity over established constructs such as commitment or attachment dimensions, in which case the index is dropped.</w:t>
      </w:r>
    </w:p>
    <w:p>
      <w:pPr>
        <w:pStyle w:val="ListParagraph"/>
        <w:numPr>
          <w:ilvl w:val="0"/>
          <w:numId w:val="2"/>
        </w:numPr>
        <w:spacing w:after="70" w:line="290"/>
      </w:pPr>
      <w:r>
        <w:rPr>
          <w:rFonts w:ascii="Times New Roman" w:cs="Times New Roman" w:eastAsia="Times New Roman" w:hAnsi="Times New Roman"/>
          <w:b/>
          <w:bCs/>
          <w:sz w:val="23"/>
          <w:szCs w:val="23"/>
        </w:rPr>
        <w:t xml:space="preserve">Stage 2: structural tests.</w:t>
      </w:r>
      <w:r>
        <w:rPr>
          <w:rFonts w:ascii="Times New Roman" w:cs="Times New Roman" w:eastAsia="Times New Roman" w:hAnsi="Times New Roman"/>
          <w:sz w:val="23"/>
          <w:szCs w:val="23"/>
        </w:rPr>
        <w:t xml:space="preserve"> Test Markov order, time homogeneity, number of latent states, hazard shape and identifiability on longitudinal data. Failure: the independence model of Equation (1) predicts held-out sequences as well as dependence models, which would falsify this paper's central critique; or a proposed structure, such as a four-class typology, fails to replicate.</w:t>
      </w:r>
    </w:p>
    <w:p>
      <w:pPr>
        <w:pStyle w:val="ListParagraph"/>
        <w:numPr>
          <w:ilvl w:val="0"/>
          <w:numId w:val="2"/>
        </w:numPr>
        <w:spacing w:after="70" w:line="290"/>
      </w:pPr>
      <w:r>
        <w:rPr>
          <w:rFonts w:ascii="Times New Roman" w:cs="Times New Roman" w:eastAsia="Times New Roman" w:hAnsi="Times New Roman"/>
          <w:b/>
          <w:bCs/>
          <w:sz w:val="23"/>
          <w:szCs w:val="23"/>
        </w:rPr>
        <w:t xml:space="preserve">Stage 3: prospective population-level prediction.</w:t>
      </w:r>
      <w:r>
        <w:rPr>
          <w:rFonts w:ascii="Times New Roman" w:cs="Times New Roman" w:eastAsia="Times New Roman" w:hAnsi="Times New Roman"/>
          <w:sz w:val="23"/>
          <w:szCs w:val="23"/>
        </w:rPr>
        <w:t xml:space="preserve"> Predict outcomes in a new cohort with pre-registered models, compared on proper scoring rules against the base rate and a simple established-predictor model. Failure: no improvement over benchmark with an interval excluding zero, or poor calibration (for example, a calibration slope outside a pre-specified range); the model is then not used for predictive claims.</w:t>
      </w:r>
    </w:p>
    <w:p>
      <w:pPr>
        <w:pStyle w:val="ListParagraph"/>
        <w:numPr>
          <w:ilvl w:val="0"/>
          <w:numId w:val="2"/>
        </w:numPr>
        <w:spacing w:after="70" w:line="290"/>
      </w:pPr>
      <w:r>
        <w:rPr>
          <w:rFonts w:ascii="Times New Roman" w:cs="Times New Roman" w:eastAsia="Times New Roman" w:hAnsi="Times New Roman"/>
          <w:b/>
          <w:bCs/>
          <w:sz w:val="23"/>
          <w:szCs w:val="23"/>
        </w:rPr>
        <w:t xml:space="preserve">Stage 4: external validation.</w:t>
      </w:r>
      <w:r>
        <w:rPr>
          <w:rFonts w:ascii="Times New Roman" w:cs="Times New Roman" w:eastAsia="Times New Roman" w:hAnsi="Times New Roman"/>
          <w:sz w:val="23"/>
          <w:szCs w:val="23"/>
        </w:rPr>
        <w:t xml:space="preserve"> Repeat Stage 3 across sites, cultures, ages and relationship types, including same-sex and non-monogamous relationships, with subgroup calibration and fairness reporting. Failure: material miscalibration in any subgroup, restricting the model's stated scope accordingly.</w:t>
      </w:r>
    </w:p>
    <w:p>
      <w:pPr>
        <w:spacing w:after="60"/>
      </w:pPr>
    </w:p>
    <w:p>
      <w:pPr>
        <w:spacing w:after="150" w:line="292"/>
        <w:jc w:val="both"/>
      </w:pPr>
      <w:r>
        <w:rPr>
          <w:rFonts w:ascii="Times New Roman" w:cs="Times New Roman" w:eastAsia="Times New Roman" w:hAnsi="Times New Roman"/>
          <w:sz w:val="23"/>
          <w:szCs w:val="23"/>
        </w:rPr>
        <w:t xml:space="preserve">The roadmap ends with research instruments, not consumer applications. A model passing all five stages would still describe populations, and the Institute would publish it, with data and code where consent allows, for scientific use.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9. Research uses</w:t>
      </w:r>
    </w:p>
    <w:p>
      <w:pPr>
        <w:spacing w:after="150" w:line="292"/>
        <w:jc w:val="both"/>
      </w:pPr>
      <w:r>
        <w:rPr>
          <w:rFonts w:ascii="Times New Roman" w:cs="Times New Roman" w:eastAsia="Times New Roman" w:hAnsi="Times New Roman"/>
          <w:sz w:val="23"/>
          <w:szCs w:val="23"/>
        </w:rPr>
        <w:t xml:space="preserve">The framework is intended for research uses only.</w:t>
      </w:r>
    </w:p>
    <w:p>
      <w:pPr>
        <w:pStyle w:val="ListParagraph"/>
        <w:numPr>
          <w:ilvl w:val="0"/>
          <w:numId w:val="3"/>
        </w:numPr>
        <w:spacing w:after="70" w:line="290"/>
      </w:pPr>
      <w:r>
        <w:rPr>
          <w:rFonts w:ascii="Times New Roman" w:cs="Times New Roman" w:eastAsia="Times New Roman" w:hAnsi="Times New Roman"/>
          <w:b/>
          <w:bCs/>
          <w:sz w:val="23"/>
          <w:szCs w:val="23"/>
        </w:rPr>
        <w:t xml:space="preserve">Simulation for hypothesis generation.</w:t>
      </w:r>
      <w:r>
        <w:rPr>
          <w:rFonts w:ascii="Times New Roman" w:cs="Times New Roman" w:eastAsia="Times New Roman" w:hAnsi="Times New Roman"/>
          <w:sz w:val="23"/>
          <w:szCs w:val="23"/>
        </w:rPr>
        <w:t xml:space="preserve"> Simulation makes the consequences of assumptions visible, as Table 1 does for heterogeneity and decay, and can show where verbal theories make different predictions.</w:t>
      </w:r>
    </w:p>
    <w:p>
      <w:pPr>
        <w:pStyle w:val="ListParagraph"/>
        <w:numPr>
          <w:ilvl w:val="0"/>
          <w:numId w:val="3"/>
        </w:numPr>
        <w:spacing w:after="70" w:line="290"/>
      </w:pPr>
      <w:r>
        <w:rPr>
          <w:rFonts w:ascii="Times New Roman" w:cs="Times New Roman" w:eastAsia="Times New Roman" w:hAnsi="Times New Roman"/>
          <w:b/>
          <w:bCs/>
          <w:sz w:val="23"/>
          <w:szCs w:val="23"/>
        </w:rPr>
        <w:t xml:space="preserve">Power analysis and sample-size planning.</w:t>
      </w:r>
      <w:r>
        <w:rPr>
          <w:rFonts w:ascii="Times New Roman" w:cs="Times New Roman" w:eastAsia="Times New Roman" w:hAnsi="Times New Roman"/>
          <w:sz w:val="23"/>
          <w:szCs w:val="23"/>
        </w:rPr>
        <w:t xml:space="preserve"> Simulation-based power analysis suits complex designs (Lakens &amp; Caldwell, 2021). The SRM simulation of Section 5.5 shows that ten people per side estimates actor and partner variance very imprecisely.</w:t>
      </w:r>
    </w:p>
    <w:p>
      <w:pPr>
        <w:pStyle w:val="ListParagraph"/>
        <w:numPr>
          <w:ilvl w:val="0"/>
          <w:numId w:val="3"/>
        </w:numPr>
        <w:spacing w:after="70" w:line="290"/>
      </w:pPr>
      <w:r>
        <w:rPr>
          <w:rFonts w:ascii="Times New Roman" w:cs="Times New Roman" w:eastAsia="Times New Roman" w:hAnsi="Times New Roman"/>
          <w:b/>
          <w:bCs/>
          <w:sz w:val="23"/>
          <w:szCs w:val="23"/>
        </w:rPr>
        <w:t xml:space="preserve">Study design.</w:t>
      </w:r>
      <w:r>
        <w:rPr>
          <w:rFonts w:ascii="Times New Roman" w:cs="Times New Roman" w:eastAsia="Times New Roman" w:hAnsi="Times New Roman"/>
          <w:sz w:val="23"/>
          <w:szCs w:val="23"/>
        </w:rPr>
        <w:t xml:space="preserve"> Models clarify which measurements identify which quantities, how long follow-up must be to estimate hazards, and what base rates imply for detectable effects.</w:t>
      </w:r>
    </w:p>
    <w:p>
      <w:pPr>
        <w:pStyle w:val="ListParagraph"/>
        <w:numPr>
          <w:ilvl w:val="0"/>
          <w:numId w:val="3"/>
        </w:numPr>
        <w:spacing w:after="70" w:line="290"/>
      </w:pPr>
      <w:r>
        <w:rPr>
          <w:rFonts w:ascii="Times New Roman" w:cs="Times New Roman" w:eastAsia="Times New Roman" w:hAnsi="Times New Roman"/>
          <w:b/>
          <w:bCs/>
          <w:sz w:val="23"/>
          <w:szCs w:val="23"/>
        </w:rPr>
        <w:t xml:space="preserve">Evidence synthesis.</w:t>
      </w:r>
      <w:r>
        <w:rPr>
          <w:rFonts w:ascii="Times New Roman" w:cs="Times New Roman" w:eastAsia="Times New Roman" w:hAnsi="Times New Roman"/>
          <w:sz w:val="23"/>
          <w:szCs w:val="23"/>
        </w:rPr>
        <w:t xml:space="preserve"> Model classes give a common language for comparing studies with different outcomes and time scales, for example by converting reported dissolution rates into hazards.</w:t>
      </w:r>
    </w:p>
    <w:p>
      <w:pPr>
        <w:spacing w:after="60"/>
      </w:pPr>
    </w:p>
    <w:p>
      <w:pPr>
        <w:spacing w:after="150" w:line="292"/>
        <w:jc w:val="both"/>
      </w:pPr>
      <w:r>
        <w:rPr>
          <w:rFonts w:ascii="Times New Roman" w:cs="Times New Roman" w:eastAsia="Times New Roman" w:hAnsi="Times New Roman"/>
          <w:sz w:val="23"/>
          <w:szCs w:val="23"/>
        </w:rPr>
        <w:t xml:space="preserve">The framework is not a basis for dating strategy, coaching, matchmaking or clinical assessment. IHE's applied work is preventive education about relationships, not treatment. Any future IHE study collecting relationship data will run under institutional review board supervision with partner universities and the Institute's Independent Ethics Committee, and participants reporting significant distress will be referred to licensed clinicians.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10. Ethical considerations</w:t>
      </w:r>
    </w:p>
    <w:p>
      <w:pPr>
        <w:spacing w:after="150" w:line="292"/>
        <w:jc w:val="both"/>
      </w:pPr>
      <w:r>
        <w:rPr>
          <w:rFonts w:ascii="Times New Roman" w:cs="Times New Roman" w:eastAsia="Times New Roman" w:hAnsi="Times New Roman"/>
          <w:b/>
          <w:bCs/>
          <w:sz w:val="23"/>
          <w:szCs w:val="23"/>
        </w:rPr>
        <w:t xml:space="preserve">Consent and autonomy.</w:t>
      </w:r>
      <w:r>
        <w:rPr>
          <w:rFonts w:ascii="Times New Roman" w:cs="Times New Roman" w:eastAsia="Times New Roman" w:hAnsi="Times New Roman"/>
          <w:sz w:val="23"/>
          <w:szCs w:val="23"/>
        </w:rPr>
        <w:t xml:space="preserve"> A model of romantic outcomes describes two people, one of whom may not know a model is being applied. Outcomes must be defined dyadically and consensually, data about a person collected only with that person's informed consent, and no model built to increase one person's influence over another. An index that treats another person's emotional caution as "resistance" to be overcome by pacing, for example, is incompatible with this position.</w:t>
      </w:r>
    </w:p>
    <w:p>
      <w:pPr>
        <w:spacing w:after="150" w:line="292"/>
        <w:jc w:val="both"/>
      </w:pPr>
      <w:r>
        <w:rPr>
          <w:rFonts w:ascii="Times New Roman" w:cs="Times New Roman" w:eastAsia="Times New Roman" w:hAnsi="Times New Roman"/>
          <w:b/>
          <w:bCs/>
          <w:sz w:val="23"/>
          <w:szCs w:val="23"/>
        </w:rPr>
        <w:t xml:space="preserve">Manipulation and coercive optimization.</w:t>
      </w:r>
      <w:r>
        <w:rPr>
          <w:rFonts w:ascii="Times New Roman" w:cs="Times New Roman" w:eastAsia="Times New Roman" w:hAnsi="Times New Roman"/>
          <w:sz w:val="23"/>
          <w:szCs w:val="23"/>
        </w:rPr>
        <w:t xml:space="preserve"> A model that predicts another person's responses can be used to search for inputs that produce a desired response, turning a description of a person into a tool for steering them; this becomes coercive when it exploits vulnerability, persistence or uncertainty. The finding that uncertainty about another's interest can heighten attraction (Whitchurch et al., 2011) could be misread as license to create uncertainty deliberately. The Institute does not publish individual-level optimization tools, scoring rules for use on other people, or tactical recommendations derived from models.</w:t>
      </w:r>
    </w:p>
    <w:p>
      <w:pPr>
        <w:spacing w:after="150" w:line="292"/>
        <w:jc w:val="both"/>
      </w:pPr>
      <w:r>
        <w:rPr>
          <w:rFonts w:ascii="Times New Roman" w:cs="Times New Roman" w:eastAsia="Times New Roman" w:hAnsi="Times New Roman"/>
          <w:b/>
          <w:bCs/>
          <w:sz w:val="23"/>
          <w:szCs w:val="23"/>
        </w:rPr>
        <w:t xml:space="preserve">Privacy of relationship and biometric data.</w:t>
      </w:r>
      <w:r>
        <w:rPr>
          <w:rFonts w:ascii="Times New Roman" w:cs="Times New Roman" w:eastAsia="Times New Roman" w:hAnsi="Times New Roman"/>
          <w:sz w:val="23"/>
          <w:szCs w:val="23"/>
        </w:rPr>
        <w:t xml:space="preserve"> Facebook Likes alone allowed accurate prediction of sexual orientation, political views and other sensitive attributes (Kosinski et al., 2013). Message histories, location data and physiological recordings from relationships are at least as sensitive and concern the partner as well as the participant. Technology is already used in domestic violence and stalking to monitor and control partners (Woodlock, 2017), and relationship-prediction tools would extend that repertoire. The framework therefore excludes hormonal, chemosignal and physiological inputs, which lack a validated basis (see IHE-WP-02 and IHE-WP-04) and create acute privacy risks. Any physiological measurement in future research would require ethical review, data minimization, secure storage and the consent of each person measured.</w:t>
      </w:r>
    </w:p>
    <w:p>
      <w:pPr>
        <w:spacing w:after="150" w:line="292"/>
        <w:jc w:val="both"/>
      </w:pPr>
      <w:r>
        <w:rPr>
          <w:rFonts w:ascii="Times New Roman" w:cs="Times New Roman" w:eastAsia="Times New Roman" w:hAnsi="Times New Roman"/>
          <w:b/>
          <w:bCs/>
          <w:sz w:val="23"/>
          <w:szCs w:val="23"/>
        </w:rPr>
        <w:t xml:space="preserve">Dignity and the language of prediction.</w:t>
      </w:r>
      <w:r>
        <w:rPr>
          <w:rFonts w:ascii="Times New Roman" w:cs="Times New Roman" w:eastAsia="Times New Roman" w:hAnsi="Times New Roman"/>
          <w:sz w:val="23"/>
          <w:szCs w:val="23"/>
        </w:rPr>
        <w:t xml:space="preserve"> Probabilities about relationships can be heard as verdicts. Telling someone their relationship has a high "collapse risk" may be inaccurate (Section 6.5), self-fulfilling and distressing. Population-level findings will be communicated as such, with uncertainty, and never translated into individual risk labels.</w:t>
      </w:r>
    </w:p>
    <w:p>
      <w:pPr>
        <w:spacing w:after="150" w:line="292"/>
        <w:jc w:val="both"/>
      </w:pPr>
      <w:r>
        <w:rPr>
          <w:rFonts w:ascii="Times New Roman" w:cs="Times New Roman" w:eastAsia="Times New Roman" w:hAnsi="Times New Roman"/>
          <w:b/>
          <w:bCs/>
          <w:sz w:val="23"/>
          <w:szCs w:val="23"/>
        </w:rPr>
        <w:t xml:space="preserve">Fairness and cultural sensitivity.</w:t>
      </w:r>
      <w:r>
        <w:rPr>
          <w:rFonts w:ascii="Times New Roman" w:cs="Times New Roman" w:eastAsia="Times New Roman" w:hAnsi="Times New Roman"/>
          <w:sz w:val="23"/>
          <w:szCs w:val="23"/>
        </w:rPr>
        <w:t xml:space="preserve"> Courtship norms, the meaning of signals and relationship forms vary across cultures, communities and individuals, and a model trained in one setting can treat its norms as universal (Section 6.7). The framework must not assume heterosexual, monogamous, reproduction-focused or gender-binary relationships, and must state the populations its evidence covers.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11. Limitations and open questions</w:t>
      </w:r>
    </w:p>
    <w:p>
      <w:pPr>
        <w:spacing w:after="150" w:line="292"/>
        <w:jc w:val="both"/>
      </w:pPr>
      <w:r>
        <w:rPr>
          <w:rFonts w:ascii="Times New Roman" w:cs="Times New Roman" w:eastAsia="Times New Roman" w:hAnsi="Times New Roman"/>
          <w:sz w:val="23"/>
          <w:szCs w:val="23"/>
        </w:rPr>
        <w:t xml:space="preserve">This paper reports no data, and none of the numbers in Tables 1 to 4 or 6 estimates a real-world quantity. The evidence on initial attraction comes largely from speed-dating and online-dating samples of young, heterosexual, Western participants, and online-dating evidence reflects platform designs that shape behavior. Evidence on relationship quality relies heavily on self-report, and concurrent associations are not causal. Divorce-prediction studies have been criticized for sampling, analysis and lack of cross-validation.</w:t>
      </w:r>
    </w:p>
    <w:p>
      <w:pPr>
        <w:spacing w:after="150" w:line="292"/>
        <w:jc w:val="both"/>
      </w:pPr>
      <w:r>
        <w:rPr>
          <w:rFonts w:ascii="Times New Roman" w:cs="Times New Roman" w:eastAsia="Times New Roman" w:hAnsi="Times New Roman"/>
          <w:sz w:val="23"/>
          <w:szCs w:val="23"/>
        </w:rPr>
        <w:t xml:space="preserve">Open questions bear directly on the framework. How strong and variable is history dependence within dyads, and does a low-order Markov model capture it? How much of the unpredictability of relationship-specific attraction reflects measurement limits rather than genuine contingency, and would measures of the interaction itself change the picture? Are discrete states such as contact, mutual interest and relationship meaningful for relationship forms that do not follow conventional stages? How should chance encounters and external events be represented, given that they are sources of variance no individual-level predictor can remove? And can predictive research here avoid creating data or tools usable to monitor or manipulate partners?</w:t>
      </w:r>
    </w:p>
    <w:p>
      <w:pPr>
        <w:spacing w:after="150" w:line="292"/>
        <w:jc w:val="both"/>
      </w:pPr>
      <w:r>
        <w:rPr>
          <w:rFonts w:ascii="Times New Roman" w:cs="Times New Roman" w:eastAsia="Times New Roman" w:hAnsi="Times New Roman"/>
          <w:sz w:val="23"/>
          <w:szCs w:val="23"/>
        </w:rPr>
        <w:t xml:space="preserve">Prediction is also not the main scientific goal. A well-calibrated population model would say little about why relationships form or end; explanation requires experimental, longitudinal and qualitative work that formal models can organize but not replace, consistent with the multilevel approach of IHE-WP-01.</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12. Research agenda</w:t>
      </w:r>
    </w:p>
    <w:p>
      <w:pPr>
        <w:spacing w:after="150" w:line="292"/>
        <w:jc w:val="both"/>
      </w:pPr>
      <w:r>
        <w:rPr>
          <w:rFonts w:ascii="Times New Roman" w:cs="Times New Roman" w:eastAsia="Times New Roman" w:hAnsi="Times New Roman"/>
          <w:sz w:val="23"/>
          <w:szCs w:val="23"/>
        </w:rPr>
        <w:t xml:space="preserve">The following questions are aspirations for a young institute, framed so that they could be pre-registered and could fail.</w:t>
      </w:r>
    </w:p>
    <w:p>
      <w:pPr>
        <w:pStyle w:val="ListParagraph"/>
        <w:numPr>
          <w:ilvl w:val="0"/>
          <w:numId w:val="4"/>
        </w:numPr>
        <w:spacing w:after="70" w:line="290"/>
      </w:pPr>
      <w:r>
        <w:rPr>
          <w:rFonts w:ascii="Times New Roman" w:cs="Times New Roman" w:eastAsia="Times New Roman" w:hAnsi="Times New Roman"/>
          <w:b/>
          <w:bCs/>
          <w:sz w:val="23"/>
          <w:szCs w:val="23"/>
        </w:rPr>
        <w:t xml:space="preserve">Dependence within dyads.</w:t>
      </w:r>
      <w:r>
        <w:rPr>
          <w:rFonts w:ascii="Times New Roman" w:cs="Times New Roman" w:eastAsia="Times New Roman" w:hAnsi="Times New Roman"/>
          <w:sz w:val="23"/>
          <w:szCs w:val="23"/>
        </w:rPr>
        <w:t xml:space="preserve"> In consented longitudinal interaction records between new acquaintances, a first-order Markov model of positive responses will outperform the independent-trials model (Equation 1) in held-out log score. Failure would undercut this paper's central critique and would be reported.</w:t>
      </w:r>
    </w:p>
    <w:p>
      <w:pPr>
        <w:pStyle w:val="ListParagraph"/>
        <w:numPr>
          <w:ilvl w:val="0"/>
          <w:numId w:val="4"/>
        </w:numPr>
        <w:spacing w:after="70" w:line="290"/>
      </w:pPr>
      <w:r>
        <w:rPr>
          <w:rFonts w:ascii="Times New Roman" w:cs="Times New Roman" w:eastAsia="Times New Roman" w:hAnsi="Times New Roman"/>
          <w:b/>
          <w:bCs/>
          <w:sz w:val="23"/>
          <w:szCs w:val="23"/>
        </w:rPr>
        <w:t xml:space="preserve">Heterogeneity across partners.</w:t>
      </w:r>
      <w:r>
        <w:rPr>
          <w:rFonts w:ascii="Times New Roman" w:cs="Times New Roman" w:eastAsia="Times New Roman" w:hAnsi="Times New Roman"/>
          <w:sz w:val="23"/>
          <w:szCs w:val="23"/>
        </w:rPr>
        <w:t xml:space="preserve"> Counts of mutual interest across first meetings with different partners will be overdispersed relative to a binomial model, with a Beta-Binomial model fitting better out of sample.</w:t>
      </w:r>
    </w:p>
    <w:p>
      <w:pPr>
        <w:pStyle w:val="ListParagraph"/>
        <w:numPr>
          <w:ilvl w:val="0"/>
          <w:numId w:val="4"/>
        </w:numPr>
        <w:spacing w:after="70" w:line="290"/>
      </w:pPr>
      <w:r>
        <w:rPr>
          <w:rFonts w:ascii="Times New Roman" w:cs="Times New Roman" w:eastAsia="Times New Roman" w:hAnsi="Times New Roman"/>
          <w:b/>
          <w:bCs/>
          <w:sz w:val="23"/>
          <w:szCs w:val="23"/>
        </w:rPr>
        <w:t xml:space="preserve">Generalization of the relationship-variance finding.</w:t>
      </w:r>
      <w:r>
        <w:rPr>
          <w:rFonts w:ascii="Times New Roman" w:cs="Times New Roman" w:eastAsia="Times New Roman" w:hAnsi="Times New Roman"/>
          <w:sz w:val="23"/>
          <w:szCs w:val="23"/>
        </w:rPr>
        <w:t xml:space="preserve"> The unpredictability of relationship-specific desire from pre-meeting self-reports (Joel et al., 2017) will replicate in samples including same-sex attraction and in non-Western settings; successful prediction would be an important departure.</w:t>
      </w:r>
    </w:p>
    <w:p>
      <w:pPr>
        <w:pStyle w:val="ListParagraph"/>
        <w:numPr>
          <w:ilvl w:val="0"/>
          <w:numId w:val="4"/>
        </w:numPr>
        <w:spacing w:after="70" w:line="290"/>
      </w:pPr>
      <w:r>
        <w:rPr>
          <w:rFonts w:ascii="Times New Roman" w:cs="Times New Roman" w:eastAsia="Times New Roman" w:hAnsi="Times New Roman"/>
          <w:b/>
          <w:bCs/>
          <w:sz w:val="23"/>
          <w:szCs w:val="23"/>
        </w:rPr>
        <w:t xml:space="preserve">Trajectory classes.</w:t>
      </w:r>
      <w:r>
        <w:rPr>
          <w:rFonts w:ascii="Times New Roman" w:cs="Times New Roman" w:eastAsia="Times New Roman" w:hAnsi="Times New Roman"/>
          <w:sz w:val="23"/>
          <w:szCs w:val="23"/>
        </w:rPr>
        <w:t xml:space="preserve"> Cross-validated class enumeration in longitudinal relationship-quality data will not support a small set of stable named classes, and continuous growth models will fit as well or better in an independent sample (linking to IHE-WP-01 and IHE-WP-02).</w:t>
      </w:r>
    </w:p>
    <w:p>
      <w:pPr>
        <w:pStyle w:val="ListParagraph"/>
        <w:numPr>
          <w:ilvl w:val="0"/>
          <w:numId w:val="4"/>
        </w:numPr>
        <w:spacing w:after="70" w:line="290"/>
      </w:pPr>
      <w:r>
        <w:rPr>
          <w:rFonts w:ascii="Times New Roman" w:cs="Times New Roman" w:eastAsia="Times New Roman" w:hAnsi="Times New Roman"/>
          <w:b/>
          <w:bCs/>
          <w:sz w:val="23"/>
          <w:szCs w:val="23"/>
        </w:rPr>
        <w:t xml:space="preserve">Contact and attraction.</w:t>
      </w:r>
      <w:r>
        <w:rPr>
          <w:rFonts w:ascii="Times New Roman" w:cs="Times New Roman" w:eastAsia="Times New Roman" w:hAnsi="Times New Roman"/>
          <w:sz w:val="23"/>
          <w:szCs w:val="23"/>
        </w:rPr>
        <w:t xml:space="preserve"> In an ethically constrained design using profiles or structured conversations with full debriefing, the effect of information exchanged on attraction will depend on the similarity revealed, reconciling Norton et al. (2007) and Reis et al. (2011). The same design could test the inverted-U effect of contact spacing that popular timing heuristics imply.</w:t>
      </w:r>
    </w:p>
    <w:p>
      <w:pPr>
        <w:pStyle w:val="ListParagraph"/>
        <w:numPr>
          <w:ilvl w:val="0"/>
          <w:numId w:val="4"/>
        </w:numPr>
        <w:spacing w:after="70" w:line="290"/>
      </w:pPr>
      <w:r>
        <w:rPr>
          <w:rFonts w:ascii="Times New Roman" w:cs="Times New Roman" w:eastAsia="Times New Roman" w:hAnsi="Times New Roman"/>
          <w:b/>
          <w:bCs/>
          <w:sz w:val="23"/>
          <w:szCs w:val="23"/>
        </w:rPr>
        <w:t xml:space="preserve">Hazard shape.</w:t>
      </w:r>
      <w:r>
        <w:rPr>
          <w:rFonts w:ascii="Times New Roman" w:cs="Times New Roman" w:eastAsia="Times New Roman" w:hAnsi="Times New Roman"/>
          <w:sz w:val="23"/>
          <w:szCs w:val="23"/>
        </w:rPr>
        <w:t xml:space="preserve"> In existing longitudinal couples data, the dissolution hazard will vary with relationship duration, and constant-hazard models will be detectably miscalibrated in the first year.</w:t>
      </w:r>
    </w:p>
    <w:p>
      <w:pPr>
        <w:pStyle w:val="ListParagraph"/>
        <w:numPr>
          <w:ilvl w:val="0"/>
          <w:numId w:val="4"/>
        </w:numPr>
        <w:spacing w:after="70" w:line="290"/>
      </w:pPr>
      <w:r>
        <w:rPr>
          <w:rFonts w:ascii="Times New Roman" w:cs="Times New Roman" w:eastAsia="Times New Roman" w:hAnsi="Times New Roman"/>
          <w:b/>
          <w:bCs/>
          <w:sz w:val="23"/>
          <w:szCs w:val="23"/>
        </w:rPr>
        <w:t xml:space="preserve">Stated preferences and outcomes.</w:t>
      </w:r>
      <w:r>
        <w:rPr>
          <w:rFonts w:ascii="Times New Roman" w:cs="Times New Roman" w:eastAsia="Times New Roman" w:hAnsi="Times New Roman"/>
          <w:sz w:val="23"/>
          <w:szCs w:val="23"/>
        </w:rPr>
        <w:t xml:space="preserve"> Evolutionary and social-structural accounts of mate preference (IHE-WP-03) predict different pre-meeting carriers of partner variance, testable within the SRM framework.</w:t>
      </w:r>
    </w:p>
    <w:p>
      <w:pPr>
        <w:spacing w:after="60"/>
      </w:pPr>
    </w:p>
    <w:p>
      <w:pPr>
        <w:spacing w:after="150" w:line="292"/>
        <w:jc w:val="both"/>
      </w:pPr>
      <w:r>
        <w:rPr>
          <w:rFonts w:ascii="Times New Roman" w:cs="Times New Roman" w:eastAsia="Times New Roman" w:hAnsi="Times New Roman"/>
          <w:sz w:val="23"/>
          <w:szCs w:val="23"/>
        </w:rPr>
        <w:t xml:space="preserve">Each study would be pre-registered, ethically reviewed, and published with null results reported as fully as positive ones.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13. Conclusion</w:t>
      </w:r>
    </w:p>
    <w:p>
      <w:pPr>
        <w:spacing w:after="150" w:line="292"/>
        <w:jc w:val="both"/>
      </w:pPr>
      <w:r>
        <w:rPr>
          <w:rFonts w:ascii="Times New Roman" w:cs="Times New Roman" w:eastAsia="Times New Roman" w:hAnsi="Times New Roman"/>
          <w:sz w:val="23"/>
          <w:szCs w:val="23"/>
        </w:rPr>
        <w:t xml:space="preserve">The intuition behind Seductics, that romantic outcomes have regularities describable in probabilistic terms, is sound and has a substantial scientific history. Its simplest formalization is not. Treating interactions as independent, identical trials ignores the nature of interaction within a couple and overstates probabilities whenever chances vary across pairs or fall with repetition. Composite indices without measurement, typologies without evidence and timing rules without tests add the appearance of precision without its substance.</w:t>
      </w:r>
    </w:p>
    <w:p>
      <w:pPr>
        <w:spacing w:after="150" w:line="292"/>
        <w:jc w:val="both"/>
      </w:pPr>
      <w:r>
        <w:rPr>
          <w:rFonts w:ascii="Times New Roman" w:cs="Times New Roman" w:eastAsia="Times New Roman" w:hAnsi="Times New Roman"/>
          <w:sz w:val="23"/>
          <w:szCs w:val="23"/>
        </w:rPr>
        <w:t xml:space="preserve">What remains is a set of established model classes (absorbing Markov chains, hidden Markov models, hazard models, hierarchical Bayesian updating and the social relations model) matched to the questions of attraction, deepening and dissolution, with explicit requirements for identifiability, measurement validity, calibration, out-of-sample testing against benchmarks, attention to base rates, pre-registration and fairness. The empirical record suggests that, even under these standards, individual-level prediction of romantic outcomes will remain weak; that is one of the framework's findings, not its failure. IHE offers no individual-level predictions and no consumer tool. Its interest is in how relationships tend to unfold across populations, stated with honest uncertainty, so that people can think about their own relationships with better information while the decisions remain theirs.</w:t>
      </w:r>
    </w:p>
    <w:p>
      <w:pPr>
        <w:pStyle w:val="Heading1"/>
        <w:keepNext/>
        <w:pageBreakBefore/>
        <w:pBdr>
          <w:bottom w:val="single" w:color="C8A875" w:sz="6" w:space="4"/>
        </w:pBdr>
        <w:spacing w:after="160" w:before="0"/>
      </w:pPr>
      <w:r>
        <w:rPr>
          <w:rFonts w:ascii="Times New Roman" w:cs="Times New Roman" w:eastAsia="Times New Roman" w:hAnsi="Times New Roman"/>
          <w:b/>
          <w:bCs/>
          <w:color w:val="1F3A5F"/>
          <w:sz w:val="30"/>
          <w:szCs w:val="30"/>
        </w:rPr>
        <w:t xml:space="preserve">References</w:t>
      </w:r>
    </w:p>
    <w:p>
      <w:pPr>
        <w:spacing w:after="90" w:line="260"/>
        <w:ind w:left="540" w:hanging="540"/>
      </w:pPr>
      <w:r>
        <w:rPr>
          <w:rFonts w:ascii="Times New Roman" w:cs="Times New Roman" w:eastAsia="Times New Roman" w:hAnsi="Times New Roman"/>
          <w:i w:val="false"/>
          <w:iCs w:val="false"/>
          <w:sz w:val="20"/>
          <w:szCs w:val="20"/>
        </w:rPr>
        <w:t xml:space="preserve">Asendorpf, J. B., Penke, L., &amp; Back, M. D. (2011). </w:t>
      </w:r>
      <w:r>
        <w:rPr>
          <w:rFonts w:ascii="Times New Roman" w:cs="Times New Roman" w:eastAsia="Times New Roman" w:hAnsi="Times New Roman"/>
          <w:i w:val="false"/>
          <w:iCs w:val="false"/>
          <w:sz w:val="20"/>
          <w:szCs w:val="20"/>
        </w:rPr>
        <w:t xml:space="preserve">From dating to mating and relating: Predictors of initial and long-term outcomes of speed-dating in a community sample. </w:t>
      </w:r>
      <w:r>
        <w:rPr>
          <w:rFonts w:ascii="Times New Roman" w:cs="Times New Roman" w:eastAsia="Times New Roman" w:hAnsi="Times New Roman"/>
          <w:i/>
          <w:iCs/>
          <w:sz w:val="20"/>
          <w:szCs w:val="20"/>
        </w:rPr>
        <w:t xml:space="preserve">European Journal of Personality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25</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16–30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https://doi.org/10.1002/per.768</w:t>
      </w:r>
    </w:p>
    <w:p>
      <w:pPr>
        <w:spacing w:after="90" w:line="260"/>
        <w:ind w:left="540" w:hanging="540"/>
      </w:pPr>
      <w:r>
        <w:rPr>
          <w:rFonts w:ascii="Times New Roman" w:cs="Times New Roman" w:eastAsia="Times New Roman" w:hAnsi="Times New Roman"/>
          <w:i w:val="false"/>
          <w:iCs w:val="false"/>
          <w:sz w:val="20"/>
          <w:szCs w:val="20"/>
        </w:rPr>
        <w:t xml:space="preserve">Babyak, M. A. (2004). </w:t>
      </w:r>
      <w:r>
        <w:rPr>
          <w:rFonts w:ascii="Times New Roman" w:cs="Times New Roman" w:eastAsia="Times New Roman" w:hAnsi="Times New Roman"/>
          <w:i w:val="false"/>
          <w:iCs w:val="false"/>
          <w:sz w:val="20"/>
          <w:szCs w:val="20"/>
        </w:rPr>
        <w:t xml:space="preserve">What you see may not be what you get: A brief, nontechnical introduction to overfitting in regression-type models. </w:t>
      </w:r>
      <w:r>
        <w:rPr>
          <w:rFonts w:ascii="Times New Roman" w:cs="Times New Roman" w:eastAsia="Times New Roman" w:hAnsi="Times New Roman"/>
          <w:i/>
          <w:iCs/>
          <w:sz w:val="20"/>
          <w:szCs w:val="20"/>
        </w:rPr>
        <w:t xml:space="preserve">Psychosomatic Medicine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66</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411–421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https://doi.org/10.1097/01.psy.0000127692.23278.a9</w:t>
      </w:r>
    </w:p>
    <w:p>
      <w:pPr>
        <w:spacing w:after="90" w:line="260"/>
        <w:ind w:left="540" w:hanging="540"/>
      </w:pPr>
      <w:r>
        <w:rPr>
          <w:rFonts w:ascii="Times New Roman" w:cs="Times New Roman" w:eastAsia="Times New Roman" w:hAnsi="Times New Roman"/>
          <w:i w:val="false"/>
          <w:iCs w:val="false"/>
          <w:sz w:val="20"/>
          <w:szCs w:val="20"/>
        </w:rPr>
        <w:t xml:space="preserve">Back, M. D., Schmukle, S. C., &amp; Egloff, B. (2011). </w:t>
      </w:r>
      <w:r>
        <w:rPr>
          <w:rFonts w:ascii="Times New Roman" w:cs="Times New Roman" w:eastAsia="Times New Roman" w:hAnsi="Times New Roman"/>
          <w:i w:val="false"/>
          <w:iCs w:val="false"/>
          <w:sz w:val="20"/>
          <w:szCs w:val="20"/>
        </w:rPr>
        <w:t xml:space="preserve">A closer look at first sight: Social relations lens model analysis of personality and interpersonal attraction at zero acquaintance. </w:t>
      </w:r>
      <w:r>
        <w:rPr>
          <w:rFonts w:ascii="Times New Roman" w:cs="Times New Roman" w:eastAsia="Times New Roman" w:hAnsi="Times New Roman"/>
          <w:i/>
          <w:iCs/>
          <w:sz w:val="20"/>
          <w:szCs w:val="20"/>
        </w:rPr>
        <w:t xml:space="preserve">European Journal of Personality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25</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225–238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https://doi.org/10.1002/per.790</w:t>
      </w:r>
    </w:p>
    <w:p>
      <w:pPr>
        <w:spacing w:after="90" w:line="260"/>
        <w:ind w:left="540" w:hanging="540"/>
      </w:pPr>
      <w:r>
        <w:rPr>
          <w:rFonts w:ascii="Times New Roman" w:cs="Times New Roman" w:eastAsia="Times New Roman" w:hAnsi="Times New Roman"/>
          <w:i w:val="false"/>
          <w:iCs w:val="false"/>
          <w:sz w:val="20"/>
          <w:szCs w:val="20"/>
        </w:rPr>
        <w:t xml:space="preserve">Bauer, D. J., &amp; Curran, P. J. (2003). </w:t>
      </w:r>
      <w:r>
        <w:rPr>
          <w:rFonts w:ascii="Times New Roman" w:cs="Times New Roman" w:eastAsia="Times New Roman" w:hAnsi="Times New Roman"/>
          <w:i w:val="false"/>
          <w:iCs w:val="false"/>
          <w:sz w:val="20"/>
          <w:szCs w:val="20"/>
        </w:rPr>
        <w:t xml:space="preserve">Distributional assumptions of growth mixture models: Implications for overextraction of latent trajectory classes. </w:t>
      </w:r>
      <w:r>
        <w:rPr>
          <w:rFonts w:ascii="Times New Roman" w:cs="Times New Roman" w:eastAsia="Times New Roman" w:hAnsi="Times New Roman"/>
          <w:i/>
          <w:iCs/>
          <w:sz w:val="20"/>
          <w:szCs w:val="20"/>
        </w:rPr>
        <w:t xml:space="preserve">Psychological Methods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8</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338–363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https://doi.org/10.1037/1082-989X.8.3.338</w:t>
      </w:r>
    </w:p>
    <w:p>
      <w:pPr>
        <w:spacing w:after="90" w:line="260"/>
        <w:ind w:left="540" w:hanging="540"/>
      </w:pPr>
      <w:r>
        <w:rPr>
          <w:rFonts w:ascii="Times New Roman" w:cs="Times New Roman" w:eastAsia="Times New Roman" w:hAnsi="Times New Roman"/>
          <w:i w:val="false"/>
          <w:iCs w:val="false"/>
          <w:sz w:val="20"/>
          <w:szCs w:val="20"/>
        </w:rPr>
        <w:t xml:space="preserve">Bornstein, R. F. (1989). </w:t>
      </w:r>
      <w:r>
        <w:rPr>
          <w:rFonts w:ascii="Times New Roman" w:cs="Times New Roman" w:eastAsia="Times New Roman" w:hAnsi="Times New Roman"/>
          <w:i w:val="false"/>
          <w:iCs w:val="false"/>
          <w:sz w:val="20"/>
          <w:szCs w:val="20"/>
        </w:rPr>
        <w:t xml:space="preserve">Exposure and affect: Overview and meta-analysis of research, 1968-1987.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106</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265–289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https://doi.org/10.1037/0033-2909.106.2.265</w:t>
      </w:r>
    </w:p>
    <w:p>
      <w:pPr>
        <w:spacing w:after="90" w:line="260"/>
        <w:ind w:left="540" w:hanging="540"/>
      </w:pPr>
      <w:r>
        <w:rPr>
          <w:rFonts w:ascii="Times New Roman" w:cs="Times New Roman" w:eastAsia="Times New Roman" w:hAnsi="Times New Roman"/>
          <w:i w:val="false"/>
          <w:iCs w:val="false"/>
          <w:sz w:val="20"/>
          <w:szCs w:val="20"/>
        </w:rPr>
        <w:t xml:space="preserve">Bruch, E. E., &amp; Newman, M. E. J. (2018). </w:t>
      </w:r>
      <w:r>
        <w:rPr>
          <w:rFonts w:ascii="Times New Roman" w:cs="Times New Roman" w:eastAsia="Times New Roman" w:hAnsi="Times New Roman"/>
          <w:i w:val="false"/>
          <w:iCs w:val="false"/>
          <w:sz w:val="20"/>
          <w:szCs w:val="20"/>
        </w:rPr>
        <w:t xml:space="preserve">Aspirational pursuit of mates in online dating markets. </w:t>
      </w:r>
      <w:r>
        <w:rPr>
          <w:rFonts w:ascii="Times New Roman" w:cs="Times New Roman" w:eastAsia="Times New Roman" w:hAnsi="Times New Roman"/>
          <w:i/>
          <w:iCs/>
          <w:sz w:val="20"/>
          <w:szCs w:val="20"/>
        </w:rPr>
        <w:t xml:space="preserve">Science Advances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w:t>
      </w:r>
      <w:r>
        <w:rPr>
          <w:rFonts w:ascii="Times New Roman" w:cs="Times New Roman" w:eastAsia="Times New Roman" w:hAnsi="Times New Roman"/>
          <w:i w:val="false"/>
          <w:iCs w:val="false"/>
          <w:sz w:val="20"/>
          <w:szCs w:val="20"/>
        </w:rPr>
        <w:t xml:space="preserve">(8)</w:t>
      </w:r>
      <w:r>
        <w:rPr>
          <w:rFonts w:ascii="Times New Roman" w:cs="Times New Roman" w:eastAsia="Times New Roman" w:hAnsi="Times New Roman"/>
          <w:i w:val="false"/>
          <w:iCs w:val="false"/>
          <w:sz w:val="20"/>
          <w:szCs w:val="20"/>
        </w:rPr>
        <w:t xml:space="preserve">, eaap9815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https://doi.org/10.1126/sciadv.aap9815</w:t>
      </w:r>
    </w:p>
    <w:p>
      <w:pPr>
        <w:spacing w:after="90" w:line="260"/>
        <w:ind w:left="540" w:hanging="540"/>
      </w:pPr>
      <w:r>
        <w:rPr>
          <w:rFonts w:ascii="Times New Roman" w:cs="Times New Roman" w:eastAsia="Times New Roman" w:hAnsi="Times New Roman"/>
          <w:i w:val="false"/>
          <w:iCs w:val="false"/>
          <w:sz w:val="20"/>
          <w:szCs w:val="20"/>
        </w:rPr>
        <w:t xml:space="preserve">Butler, E. A. (2011). </w:t>
      </w:r>
      <w:r>
        <w:rPr>
          <w:rFonts w:ascii="Times New Roman" w:cs="Times New Roman" w:eastAsia="Times New Roman" w:hAnsi="Times New Roman"/>
          <w:i w:val="false"/>
          <w:iCs w:val="false"/>
          <w:sz w:val="20"/>
          <w:szCs w:val="20"/>
        </w:rPr>
        <w:t xml:space="preserve">Temporal interpersonal emotion systems: The "TIES" that form relationships. </w:t>
      </w:r>
      <w:r>
        <w:rPr>
          <w:rFonts w:ascii="Times New Roman" w:cs="Times New Roman" w:eastAsia="Times New Roman" w:hAnsi="Times New Roman"/>
          <w:i/>
          <w:iCs/>
          <w:sz w:val="20"/>
          <w:szCs w:val="20"/>
        </w:rPr>
        <w:t xml:space="preserve">Personality and Social Psychology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15</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367–393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https://doi.org/10.1177/1088868311411164</w:t>
      </w:r>
    </w:p>
    <w:p>
      <w:pPr>
        <w:spacing w:after="90" w:line="260"/>
        <w:ind w:left="540" w:hanging="540"/>
      </w:pPr>
      <w:r>
        <w:rPr>
          <w:rFonts w:ascii="Times New Roman" w:cs="Times New Roman" w:eastAsia="Times New Roman" w:hAnsi="Times New Roman"/>
          <w:i w:val="false"/>
          <w:iCs w:val="false"/>
          <w:sz w:val="20"/>
          <w:szCs w:val="20"/>
        </w:rPr>
        <w:t xml:space="preserve">Chouldechova, A. (2017). </w:t>
      </w:r>
      <w:r>
        <w:rPr>
          <w:rFonts w:ascii="Times New Roman" w:cs="Times New Roman" w:eastAsia="Times New Roman" w:hAnsi="Times New Roman"/>
          <w:i w:val="false"/>
          <w:iCs w:val="false"/>
          <w:sz w:val="20"/>
          <w:szCs w:val="20"/>
        </w:rPr>
        <w:t xml:space="preserve">Fair prediction with disparate impact: A study of bias in recidivism prediction instruments. </w:t>
      </w:r>
      <w:r>
        <w:rPr>
          <w:rFonts w:ascii="Times New Roman" w:cs="Times New Roman" w:eastAsia="Times New Roman" w:hAnsi="Times New Roman"/>
          <w:i/>
          <w:iCs/>
          <w:sz w:val="20"/>
          <w:szCs w:val="20"/>
        </w:rPr>
        <w:t xml:space="preserve">Big Data</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153–163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https://doi.org/10.1089/big.2016.0047</w:t>
      </w:r>
    </w:p>
    <w:p>
      <w:pPr>
        <w:spacing w:after="90" w:line="260"/>
        <w:ind w:left="540" w:hanging="540"/>
      </w:pPr>
      <w:r>
        <w:rPr>
          <w:rFonts w:ascii="Times New Roman" w:cs="Times New Roman" w:eastAsia="Times New Roman" w:hAnsi="Times New Roman"/>
          <w:i w:val="false"/>
          <w:iCs w:val="false"/>
          <w:sz w:val="20"/>
          <w:szCs w:val="20"/>
        </w:rPr>
        <w:t xml:space="preserve">Collins, G. S., Reitsma, J. B., Altman, D. G., &amp; Moons, K. G. M. (2015). </w:t>
      </w:r>
      <w:r>
        <w:rPr>
          <w:rFonts w:ascii="Times New Roman" w:cs="Times New Roman" w:eastAsia="Times New Roman" w:hAnsi="Times New Roman"/>
          <w:i w:val="false"/>
          <w:iCs w:val="false"/>
          <w:sz w:val="20"/>
          <w:szCs w:val="20"/>
        </w:rPr>
        <w:t xml:space="preserve">Transparent Reporting of a multivariable prediction model for Individual Prognosis Or Diagnosis (TRIPOD): The TRIPOD statement. </w:t>
      </w:r>
      <w:r>
        <w:rPr>
          <w:rFonts w:ascii="Times New Roman" w:cs="Times New Roman" w:eastAsia="Times New Roman" w:hAnsi="Times New Roman"/>
          <w:i/>
          <w:iCs/>
          <w:sz w:val="20"/>
          <w:szCs w:val="20"/>
        </w:rPr>
        <w:t xml:space="preserve">Annals of Internal Medicine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162</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55–63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https://doi.org/10.7326/M14-0697</w:t>
      </w:r>
    </w:p>
    <w:p>
      <w:pPr>
        <w:spacing w:after="90" w:line="260"/>
        <w:ind w:left="540" w:hanging="540"/>
      </w:pPr>
      <w:r>
        <w:rPr>
          <w:rFonts w:ascii="Times New Roman" w:cs="Times New Roman" w:eastAsia="Times New Roman" w:hAnsi="Times New Roman"/>
          <w:i w:val="false"/>
          <w:iCs w:val="false"/>
          <w:sz w:val="20"/>
          <w:szCs w:val="20"/>
        </w:rPr>
        <w:t xml:space="preserve">Cox, D. R. (1972). </w:t>
      </w:r>
      <w:r>
        <w:rPr>
          <w:rFonts w:ascii="Times New Roman" w:cs="Times New Roman" w:eastAsia="Times New Roman" w:hAnsi="Times New Roman"/>
          <w:i w:val="false"/>
          <w:iCs w:val="false"/>
          <w:sz w:val="20"/>
          <w:szCs w:val="20"/>
        </w:rPr>
        <w:t xml:space="preserve">Regression models and life-tables. </w:t>
      </w:r>
      <w:r>
        <w:rPr>
          <w:rFonts w:ascii="Times New Roman" w:cs="Times New Roman" w:eastAsia="Times New Roman" w:hAnsi="Times New Roman"/>
          <w:i/>
          <w:iCs/>
          <w:sz w:val="20"/>
          <w:szCs w:val="20"/>
        </w:rPr>
        <w:t xml:space="preserve">Journal of the Royal Statistical Society: Series B (Methodological)</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34</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187–202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https://doi.org/10.1111/j.2517-6161.1972.tb00899.x</w:t>
      </w:r>
    </w:p>
    <w:p>
      <w:pPr>
        <w:spacing w:after="90" w:line="260"/>
        <w:ind w:left="540" w:hanging="540"/>
      </w:pPr>
      <w:r>
        <w:rPr>
          <w:rFonts w:ascii="Times New Roman" w:cs="Times New Roman" w:eastAsia="Times New Roman" w:hAnsi="Times New Roman"/>
          <w:i w:val="false"/>
          <w:iCs w:val="false"/>
          <w:sz w:val="20"/>
          <w:szCs w:val="20"/>
        </w:rPr>
        <w:t xml:space="preserve">Cronbach, L. J., &amp; Meehl, P. E. (1955). </w:t>
      </w:r>
      <w:r>
        <w:rPr>
          <w:rFonts w:ascii="Times New Roman" w:cs="Times New Roman" w:eastAsia="Times New Roman" w:hAnsi="Times New Roman"/>
          <w:i w:val="false"/>
          <w:iCs w:val="false"/>
          <w:sz w:val="20"/>
          <w:szCs w:val="20"/>
        </w:rPr>
        <w:t xml:space="preserve">Construct validity in psychological tests.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52</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281–302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https://doi.org/10.1037/h0040957</w:t>
      </w:r>
    </w:p>
    <w:p>
      <w:pPr>
        <w:spacing w:after="90" w:line="260"/>
        <w:ind w:left="540" w:hanging="540"/>
      </w:pPr>
      <w:r>
        <w:rPr>
          <w:rFonts w:ascii="Times New Roman" w:cs="Times New Roman" w:eastAsia="Times New Roman" w:hAnsi="Times New Roman"/>
          <w:i w:val="false"/>
          <w:iCs w:val="false"/>
          <w:sz w:val="20"/>
          <w:szCs w:val="20"/>
        </w:rPr>
        <w:t xml:space="preserve">Dawes, R. M. (1979). </w:t>
      </w:r>
      <w:r>
        <w:rPr>
          <w:rFonts w:ascii="Times New Roman" w:cs="Times New Roman" w:eastAsia="Times New Roman" w:hAnsi="Times New Roman"/>
          <w:i w:val="false"/>
          <w:iCs w:val="false"/>
          <w:sz w:val="20"/>
          <w:szCs w:val="20"/>
        </w:rPr>
        <w:t xml:space="preserve">The robust beauty of improper linear models in decision making. </w:t>
      </w:r>
      <w:r>
        <w:rPr>
          <w:rFonts w:ascii="Times New Roman" w:cs="Times New Roman" w:eastAsia="Times New Roman" w:hAnsi="Times New Roman"/>
          <w:i/>
          <w:iCs/>
          <w:sz w:val="20"/>
          <w:szCs w:val="20"/>
        </w:rPr>
        <w:t xml:space="preserve">American Psychologist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34</w:t>
      </w:r>
      <w:r>
        <w:rPr>
          <w:rFonts w:ascii="Times New Roman" w:cs="Times New Roman" w:eastAsia="Times New Roman" w:hAnsi="Times New Roman"/>
          <w:i w:val="false"/>
          <w:iCs w:val="false"/>
          <w:sz w:val="20"/>
          <w:szCs w:val="20"/>
        </w:rPr>
        <w:t xml:space="preserve">(7)</w:t>
      </w:r>
      <w:r>
        <w:rPr>
          <w:rFonts w:ascii="Times New Roman" w:cs="Times New Roman" w:eastAsia="Times New Roman" w:hAnsi="Times New Roman"/>
          <w:i w:val="false"/>
          <w:iCs w:val="false"/>
          <w:sz w:val="20"/>
          <w:szCs w:val="20"/>
        </w:rPr>
        <w:t xml:space="preserve">, 571–582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https://doi.org/10.1037/0003-066X.34.7.571</w:t>
      </w:r>
    </w:p>
    <w:p>
      <w:pPr>
        <w:spacing w:after="90" w:line="260"/>
        <w:ind w:left="540" w:hanging="540"/>
      </w:pPr>
      <w:r>
        <w:rPr>
          <w:rFonts w:ascii="Times New Roman" w:cs="Times New Roman" w:eastAsia="Times New Roman" w:hAnsi="Times New Roman"/>
          <w:i w:val="false"/>
          <w:iCs w:val="false"/>
          <w:sz w:val="20"/>
          <w:szCs w:val="20"/>
        </w:rPr>
        <w:t xml:space="preserve">Eastwick, P. W., &amp; Hunt, L. L. (2014). </w:t>
      </w:r>
      <w:r>
        <w:rPr>
          <w:rFonts w:ascii="Times New Roman" w:cs="Times New Roman" w:eastAsia="Times New Roman" w:hAnsi="Times New Roman"/>
          <w:i w:val="false"/>
          <w:iCs w:val="false"/>
          <w:sz w:val="20"/>
          <w:szCs w:val="20"/>
        </w:rPr>
        <w:t xml:space="preserve">Relational mate value: Consensus and uniqueness in romantic evaluations.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106</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728–751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https://doi.org/10.1037/a0035884</w:t>
      </w:r>
    </w:p>
    <w:p>
      <w:pPr>
        <w:spacing w:after="90" w:line="260"/>
        <w:ind w:left="540" w:hanging="540"/>
      </w:pPr>
      <w:r>
        <w:rPr>
          <w:rFonts w:ascii="Times New Roman" w:cs="Times New Roman" w:eastAsia="Times New Roman" w:hAnsi="Times New Roman"/>
          <w:i w:val="false"/>
          <w:iCs w:val="false"/>
          <w:sz w:val="20"/>
          <w:szCs w:val="20"/>
        </w:rPr>
        <w:t xml:space="preserve">Eastwick, P. W., Finkel, E. J., Mochon, D., &amp; Ariely, D. (2007). </w:t>
      </w:r>
      <w:r>
        <w:rPr>
          <w:rFonts w:ascii="Times New Roman" w:cs="Times New Roman" w:eastAsia="Times New Roman" w:hAnsi="Times New Roman"/>
          <w:i w:val="false"/>
          <w:iCs w:val="false"/>
          <w:sz w:val="20"/>
          <w:szCs w:val="20"/>
        </w:rPr>
        <w:t xml:space="preserve">Selective versus unselective romantic desire: Not all reciprocity is created equal.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18</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317–319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https://doi.org/10.1111/j.1467-9280.2007.01897.x</w:t>
      </w:r>
    </w:p>
    <w:p>
      <w:pPr>
        <w:spacing w:after="90" w:line="260"/>
        <w:ind w:left="540" w:hanging="540"/>
      </w:pPr>
      <w:r>
        <w:rPr>
          <w:rFonts w:ascii="Times New Roman" w:cs="Times New Roman" w:eastAsia="Times New Roman" w:hAnsi="Times New Roman"/>
          <w:i w:val="false"/>
          <w:iCs w:val="false"/>
          <w:sz w:val="20"/>
          <w:szCs w:val="20"/>
        </w:rPr>
        <w:t xml:space="preserve">Eastwick, P. W., Luchies, L. B., Finkel, E. J., &amp; Hunt, L. L. (2014). </w:t>
      </w:r>
      <w:r>
        <w:rPr>
          <w:rFonts w:ascii="Times New Roman" w:cs="Times New Roman" w:eastAsia="Times New Roman" w:hAnsi="Times New Roman"/>
          <w:i w:val="false"/>
          <w:iCs w:val="false"/>
          <w:sz w:val="20"/>
          <w:szCs w:val="20"/>
        </w:rPr>
        <w:t xml:space="preserve">The predictive validity of ideal partner preferences: A review and meta-analysis.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140</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623–665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https://doi.org/10.1037/a0032432</w:t>
      </w:r>
    </w:p>
    <w:p>
      <w:pPr>
        <w:spacing w:after="90" w:line="260"/>
        <w:ind w:left="540" w:hanging="540"/>
      </w:pPr>
      <w:r>
        <w:rPr>
          <w:rFonts w:ascii="Times New Roman" w:cs="Times New Roman" w:eastAsia="Times New Roman" w:hAnsi="Times New Roman"/>
          <w:i w:val="false"/>
          <w:iCs w:val="false"/>
          <w:sz w:val="20"/>
          <w:szCs w:val="20"/>
        </w:rPr>
        <w:t xml:space="preserve">Felmlee, D. H., &amp; Greenberg, D. F. (1999). </w:t>
      </w:r>
      <w:r>
        <w:rPr>
          <w:rFonts w:ascii="Times New Roman" w:cs="Times New Roman" w:eastAsia="Times New Roman" w:hAnsi="Times New Roman"/>
          <w:i w:val="false"/>
          <w:iCs w:val="false"/>
          <w:sz w:val="20"/>
          <w:szCs w:val="20"/>
        </w:rPr>
        <w:t xml:space="preserve">A dynamic systems model of dyadic interaction. </w:t>
      </w:r>
      <w:r>
        <w:rPr>
          <w:rFonts w:ascii="Times New Roman" w:cs="Times New Roman" w:eastAsia="Times New Roman" w:hAnsi="Times New Roman"/>
          <w:i/>
          <w:iCs/>
          <w:sz w:val="20"/>
          <w:szCs w:val="20"/>
        </w:rPr>
        <w:t xml:space="preserve">The Journal of Mathematical Sociology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23</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155–180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https://doi.org/10.1080/0022250x.1999.9990218</w:t>
      </w:r>
    </w:p>
    <w:p>
      <w:pPr>
        <w:spacing w:after="90" w:line="260"/>
        <w:ind w:left="540" w:hanging="540"/>
      </w:pPr>
      <w:r>
        <w:rPr>
          <w:rFonts w:ascii="Times New Roman" w:cs="Times New Roman" w:eastAsia="Times New Roman" w:hAnsi="Times New Roman"/>
          <w:i w:val="false"/>
          <w:iCs w:val="false"/>
          <w:sz w:val="20"/>
          <w:szCs w:val="20"/>
        </w:rPr>
        <w:t xml:space="preserve">Finkel, E. J., Eastwick, P. W., Karney, B. R., Reis, H. T., &amp; Sprecher, S. (2012). </w:t>
      </w:r>
      <w:r>
        <w:rPr>
          <w:rFonts w:ascii="Times New Roman" w:cs="Times New Roman" w:eastAsia="Times New Roman" w:hAnsi="Times New Roman"/>
          <w:i w:val="false"/>
          <w:iCs w:val="false"/>
          <w:sz w:val="20"/>
          <w:szCs w:val="20"/>
        </w:rPr>
        <w:t xml:space="preserve">Online dating: A critical analysis from the perspective of psychological science. </w:t>
      </w:r>
      <w:r>
        <w:rPr>
          <w:rFonts w:ascii="Times New Roman" w:cs="Times New Roman" w:eastAsia="Times New Roman" w:hAnsi="Times New Roman"/>
          <w:i/>
          <w:iCs/>
          <w:sz w:val="20"/>
          <w:szCs w:val="20"/>
        </w:rPr>
        <w:t xml:space="preserve">Psychological Science in the Public Interest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13</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3–66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https://doi.org/10.1177/1529100612436522</w:t>
      </w:r>
    </w:p>
    <w:p>
      <w:pPr>
        <w:spacing w:after="90" w:line="260"/>
        <w:ind w:left="540" w:hanging="540"/>
      </w:pPr>
      <w:r>
        <w:rPr>
          <w:rFonts w:ascii="Times New Roman" w:cs="Times New Roman" w:eastAsia="Times New Roman" w:hAnsi="Times New Roman"/>
          <w:i w:val="false"/>
          <w:iCs w:val="false"/>
          <w:sz w:val="20"/>
          <w:szCs w:val="20"/>
        </w:rPr>
        <w:t xml:space="preserve">Flake, J. K., &amp; Fried, E. I. (2020). </w:t>
      </w:r>
      <w:r>
        <w:rPr>
          <w:rFonts w:ascii="Times New Roman" w:cs="Times New Roman" w:eastAsia="Times New Roman" w:hAnsi="Times New Roman"/>
          <w:i w:val="false"/>
          <w:iCs w:val="false"/>
          <w:sz w:val="20"/>
          <w:szCs w:val="20"/>
        </w:rPr>
        <w:t xml:space="preserve">Measurement schmeasurement: Questionable measurement practices and how to avoid them. </w:t>
      </w:r>
      <w:r>
        <w:rPr>
          <w:rFonts w:ascii="Times New Roman" w:cs="Times New Roman" w:eastAsia="Times New Roman" w:hAnsi="Times New Roman"/>
          <w:i/>
          <w:iCs/>
          <w:sz w:val="20"/>
          <w:szCs w:val="20"/>
        </w:rPr>
        <w:t xml:space="preserve">Advances in Methods and Practices in 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456–465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https://doi.org/10.1177/2515245920952393</w:t>
      </w:r>
    </w:p>
    <w:p>
      <w:pPr>
        <w:spacing w:after="90" w:line="260"/>
        <w:ind w:left="540" w:hanging="540"/>
      </w:pPr>
      <w:r>
        <w:rPr>
          <w:rFonts w:ascii="Times New Roman" w:cs="Times New Roman" w:eastAsia="Times New Roman" w:hAnsi="Times New Roman"/>
          <w:i w:val="false"/>
          <w:iCs w:val="false"/>
          <w:sz w:val="20"/>
          <w:szCs w:val="20"/>
        </w:rPr>
        <w:t xml:space="preserve">Fraley, R. C. (2002). </w:t>
      </w:r>
      <w:r>
        <w:rPr>
          <w:rFonts w:ascii="Times New Roman" w:cs="Times New Roman" w:eastAsia="Times New Roman" w:hAnsi="Times New Roman"/>
          <w:i w:val="false"/>
          <w:iCs w:val="false"/>
          <w:sz w:val="20"/>
          <w:szCs w:val="20"/>
        </w:rPr>
        <w:t xml:space="preserve">Attachment stability from infancy to adulthood: Meta-analysis and dynamic modeling of developmental mechanisms. </w:t>
      </w:r>
      <w:r>
        <w:rPr>
          <w:rFonts w:ascii="Times New Roman" w:cs="Times New Roman" w:eastAsia="Times New Roman" w:hAnsi="Times New Roman"/>
          <w:i/>
          <w:iCs/>
          <w:sz w:val="20"/>
          <w:szCs w:val="20"/>
        </w:rPr>
        <w:t xml:space="preserve">Personality and Social Psychology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123–151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https://doi.org/10.1207/S15327957PSPR0602_03</w:t>
      </w:r>
    </w:p>
    <w:p>
      <w:pPr>
        <w:spacing w:after="90" w:line="260"/>
        <w:ind w:left="540" w:hanging="540"/>
      </w:pPr>
      <w:r>
        <w:rPr>
          <w:rFonts w:ascii="Times New Roman" w:cs="Times New Roman" w:eastAsia="Times New Roman" w:hAnsi="Times New Roman"/>
          <w:i w:val="false"/>
          <w:iCs w:val="false"/>
          <w:sz w:val="20"/>
          <w:szCs w:val="20"/>
        </w:rPr>
        <w:t xml:space="preserve">Gelman, A., Carlin, J. B., Stern, H. S., Dunson, D. B., Vehtari, A., &amp; Rubin, D. B. (2013). </w:t>
      </w:r>
      <w:r>
        <w:rPr>
          <w:rFonts w:ascii="Times New Roman" w:cs="Times New Roman" w:eastAsia="Times New Roman" w:hAnsi="Times New Roman"/>
          <w:i/>
          <w:iCs/>
          <w:sz w:val="20"/>
          <w:szCs w:val="20"/>
        </w:rPr>
        <w:t xml:space="preserve">Bayesian data analysis</w:t>
      </w:r>
      <w:r>
        <w:rPr>
          <w:rFonts w:ascii="Times New Roman" w:cs="Times New Roman" w:eastAsia="Times New Roman" w:hAnsi="Times New Roman"/>
          <w:i w:val="false"/>
          <w:iCs w:val="false"/>
          <w:sz w:val="20"/>
          <w:szCs w:val="20"/>
        </w:rPr>
        <w:t xml:space="preserve"> (3rd ed.)</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val="false"/>
          <w:iCs w:val="false"/>
          <w:sz w:val="20"/>
          <w:szCs w:val="20"/>
        </w:rPr>
        <w:t xml:space="preserve">Chapman and Hall/CRC.</w:t>
      </w:r>
      <w:r>
        <w:rPr>
          <w:rFonts w:ascii="Times New Roman" w:cs="Times New Roman" w:eastAsia="Times New Roman" w:hAnsi="Times New Roman"/>
          <w:i w:val="false"/>
          <w:iCs w:val="false"/>
          <w:sz w:val="20"/>
          <w:szCs w:val="20"/>
        </w:rPr>
        <w:t xml:space="preserve"> https://doi.org/10.1201/b16018</w:t>
      </w:r>
    </w:p>
    <w:p>
      <w:pPr>
        <w:spacing w:after="90" w:line="260"/>
        <w:ind w:left="540" w:hanging="540"/>
      </w:pPr>
      <w:r>
        <w:rPr>
          <w:rFonts w:ascii="Times New Roman" w:cs="Times New Roman" w:eastAsia="Times New Roman" w:hAnsi="Times New Roman"/>
          <w:i w:val="false"/>
          <w:iCs w:val="false"/>
          <w:sz w:val="20"/>
          <w:szCs w:val="20"/>
        </w:rPr>
        <w:t xml:space="preserve">Gneiting, T., &amp; Raftery, A. E. (2007). </w:t>
      </w:r>
      <w:r>
        <w:rPr>
          <w:rFonts w:ascii="Times New Roman" w:cs="Times New Roman" w:eastAsia="Times New Roman" w:hAnsi="Times New Roman"/>
          <w:i w:val="false"/>
          <w:iCs w:val="false"/>
          <w:sz w:val="20"/>
          <w:szCs w:val="20"/>
        </w:rPr>
        <w:t xml:space="preserve">Strictly proper scoring rules, prediction, and estimation. </w:t>
      </w:r>
      <w:r>
        <w:rPr>
          <w:rFonts w:ascii="Times New Roman" w:cs="Times New Roman" w:eastAsia="Times New Roman" w:hAnsi="Times New Roman"/>
          <w:i/>
          <w:iCs/>
          <w:sz w:val="20"/>
          <w:szCs w:val="20"/>
        </w:rPr>
        <w:t xml:space="preserve">Journal of the American Statistical Association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102</w:t>
      </w:r>
      <w:r>
        <w:rPr>
          <w:rFonts w:ascii="Times New Roman" w:cs="Times New Roman" w:eastAsia="Times New Roman" w:hAnsi="Times New Roman"/>
          <w:i w:val="false"/>
          <w:iCs w:val="false"/>
          <w:sz w:val="20"/>
          <w:szCs w:val="20"/>
        </w:rPr>
        <w:t xml:space="preserve">(477)</w:t>
      </w:r>
      <w:r>
        <w:rPr>
          <w:rFonts w:ascii="Times New Roman" w:cs="Times New Roman" w:eastAsia="Times New Roman" w:hAnsi="Times New Roman"/>
          <w:i w:val="false"/>
          <w:iCs w:val="false"/>
          <w:sz w:val="20"/>
          <w:szCs w:val="20"/>
        </w:rPr>
        <w:t xml:space="preserve">, 359–378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https://doi.org/10.1198/016214506000001437</w:t>
      </w:r>
    </w:p>
    <w:p>
      <w:pPr>
        <w:spacing w:after="90" w:line="260"/>
        <w:ind w:left="540" w:hanging="540"/>
      </w:pPr>
      <w:r>
        <w:rPr>
          <w:rFonts w:ascii="Times New Roman" w:cs="Times New Roman" w:eastAsia="Times New Roman" w:hAnsi="Times New Roman"/>
          <w:i w:val="false"/>
          <w:iCs w:val="false"/>
          <w:sz w:val="20"/>
          <w:szCs w:val="20"/>
        </w:rPr>
        <w:t xml:space="preserve">Gottman, J. M., &amp; Levenson, R. W. (1992). </w:t>
      </w:r>
      <w:r>
        <w:rPr>
          <w:rFonts w:ascii="Times New Roman" w:cs="Times New Roman" w:eastAsia="Times New Roman" w:hAnsi="Times New Roman"/>
          <w:i w:val="false"/>
          <w:iCs w:val="false"/>
          <w:sz w:val="20"/>
          <w:szCs w:val="20"/>
        </w:rPr>
        <w:t xml:space="preserve">Marital processes predictive of later dissolution: Behavior, physiology, and health.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63</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221–233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https://doi.org/10.1037/0022-3514.63.2.221</w:t>
      </w:r>
    </w:p>
    <w:p>
      <w:pPr>
        <w:spacing w:after="90" w:line="260"/>
        <w:ind w:left="540" w:hanging="540"/>
      </w:pPr>
      <w:r>
        <w:rPr>
          <w:rFonts w:ascii="Times New Roman" w:cs="Times New Roman" w:eastAsia="Times New Roman" w:hAnsi="Times New Roman"/>
          <w:i w:val="false"/>
          <w:iCs w:val="false"/>
          <w:sz w:val="20"/>
          <w:szCs w:val="20"/>
        </w:rPr>
        <w:t xml:space="preserve">Gottman, J. M., &amp; Levenson, R. W. (2000). </w:t>
      </w:r>
      <w:r>
        <w:rPr>
          <w:rFonts w:ascii="Times New Roman" w:cs="Times New Roman" w:eastAsia="Times New Roman" w:hAnsi="Times New Roman"/>
          <w:i w:val="false"/>
          <w:iCs w:val="false"/>
          <w:sz w:val="20"/>
          <w:szCs w:val="20"/>
        </w:rPr>
        <w:t xml:space="preserve">The timing of divorce: Predicting when a couple will divorce over a 14-year period. </w:t>
      </w:r>
      <w:r>
        <w:rPr>
          <w:rFonts w:ascii="Times New Roman" w:cs="Times New Roman" w:eastAsia="Times New Roman" w:hAnsi="Times New Roman"/>
          <w:i/>
          <w:iCs/>
          <w:sz w:val="20"/>
          <w:szCs w:val="20"/>
        </w:rPr>
        <w:t xml:space="preserve">Journal of Marriage and Family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62</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737–745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https://doi.org/10.1111/j.1741-3737.2000.00737.x</w:t>
      </w:r>
    </w:p>
    <w:p>
      <w:pPr>
        <w:spacing w:after="90" w:line="260"/>
        <w:ind w:left="540" w:hanging="540"/>
      </w:pPr>
      <w:r>
        <w:rPr>
          <w:rFonts w:ascii="Times New Roman" w:cs="Times New Roman" w:eastAsia="Times New Roman" w:hAnsi="Times New Roman"/>
          <w:i w:val="false"/>
          <w:iCs w:val="false"/>
          <w:sz w:val="20"/>
          <w:szCs w:val="20"/>
        </w:rPr>
        <w:t xml:space="preserve">Gottman, J. M., Coan, J., Carrere, S., &amp; Swanson, C. (1998). </w:t>
      </w:r>
      <w:r>
        <w:rPr>
          <w:rFonts w:ascii="Times New Roman" w:cs="Times New Roman" w:eastAsia="Times New Roman" w:hAnsi="Times New Roman"/>
          <w:i w:val="false"/>
          <w:iCs w:val="false"/>
          <w:sz w:val="20"/>
          <w:szCs w:val="20"/>
        </w:rPr>
        <w:t xml:space="preserve">Predicting marital happiness and stability from newlywed interactions. </w:t>
      </w:r>
      <w:r>
        <w:rPr>
          <w:rFonts w:ascii="Times New Roman" w:cs="Times New Roman" w:eastAsia="Times New Roman" w:hAnsi="Times New Roman"/>
          <w:i/>
          <w:iCs/>
          <w:sz w:val="20"/>
          <w:szCs w:val="20"/>
        </w:rPr>
        <w:t xml:space="preserve">Journal of Marriage and the Family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60</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https://doi.org/10.2307/353438</w:t>
      </w:r>
    </w:p>
    <w:p>
      <w:pPr>
        <w:spacing w:after="90" w:line="260"/>
        <w:ind w:left="540" w:hanging="540"/>
      </w:pPr>
      <w:r>
        <w:rPr>
          <w:rFonts w:ascii="Times New Roman" w:cs="Times New Roman" w:eastAsia="Times New Roman" w:hAnsi="Times New Roman"/>
          <w:i w:val="false"/>
          <w:iCs w:val="false"/>
          <w:sz w:val="20"/>
          <w:szCs w:val="20"/>
        </w:rPr>
        <w:t xml:space="preserve">Gottman, J., Swanson, C., &amp; Murray, J. (1999). </w:t>
      </w:r>
      <w:r>
        <w:rPr>
          <w:rFonts w:ascii="Times New Roman" w:cs="Times New Roman" w:eastAsia="Times New Roman" w:hAnsi="Times New Roman"/>
          <w:i w:val="false"/>
          <w:iCs w:val="false"/>
          <w:sz w:val="20"/>
          <w:szCs w:val="20"/>
        </w:rPr>
        <w:t xml:space="preserve">The mathematics of marital conflict: Dynamic mathematical nonlinear modeling of newlywed marital interaction. </w:t>
      </w:r>
      <w:r>
        <w:rPr>
          <w:rFonts w:ascii="Times New Roman" w:cs="Times New Roman" w:eastAsia="Times New Roman" w:hAnsi="Times New Roman"/>
          <w:i/>
          <w:iCs/>
          <w:sz w:val="20"/>
          <w:szCs w:val="20"/>
        </w:rPr>
        <w:t xml:space="preserve">Journal of Family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13</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3–19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https://doi.org/10.1037/0893-3200.13.1.3</w:t>
      </w:r>
    </w:p>
    <w:p>
      <w:pPr>
        <w:spacing w:after="90" w:line="260"/>
        <w:ind w:left="540" w:hanging="540"/>
      </w:pPr>
      <w:r>
        <w:rPr>
          <w:rFonts w:ascii="Times New Roman" w:cs="Times New Roman" w:eastAsia="Times New Roman" w:hAnsi="Times New Roman"/>
          <w:i w:val="false"/>
          <w:iCs w:val="false"/>
          <w:sz w:val="20"/>
          <w:szCs w:val="20"/>
        </w:rPr>
        <w:t xml:space="preserve">Grove, W. M., Zald, D. H., Lebow, B. S., Snitz, B. E., &amp; Nelson, C. (2000). </w:t>
      </w:r>
      <w:r>
        <w:rPr>
          <w:rFonts w:ascii="Times New Roman" w:cs="Times New Roman" w:eastAsia="Times New Roman" w:hAnsi="Times New Roman"/>
          <w:i w:val="false"/>
          <w:iCs w:val="false"/>
          <w:sz w:val="20"/>
          <w:szCs w:val="20"/>
        </w:rPr>
        <w:t xml:space="preserve">Clinical versus mechanical prediction: A meta-analysis. </w:t>
      </w:r>
      <w:r>
        <w:rPr>
          <w:rFonts w:ascii="Times New Roman" w:cs="Times New Roman" w:eastAsia="Times New Roman" w:hAnsi="Times New Roman"/>
          <w:i/>
          <w:iCs/>
          <w:sz w:val="20"/>
          <w:szCs w:val="20"/>
        </w:rPr>
        <w:t xml:space="preserve">Psychological Assessment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12</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19–30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https://doi.org/10.1037/1040-3590.12.1.19</w:t>
      </w:r>
    </w:p>
    <w:p>
      <w:pPr>
        <w:spacing w:after="90" w:line="260"/>
        <w:ind w:left="540" w:hanging="540"/>
      </w:pPr>
      <w:r>
        <w:rPr>
          <w:rFonts w:ascii="Times New Roman" w:cs="Times New Roman" w:eastAsia="Times New Roman" w:hAnsi="Times New Roman"/>
          <w:i w:val="false"/>
          <w:iCs w:val="false"/>
          <w:sz w:val="20"/>
          <w:szCs w:val="20"/>
        </w:rPr>
        <w:t xml:space="preserve">Hazan, C., &amp; Shaver, P. (1987). </w:t>
      </w:r>
      <w:r>
        <w:rPr>
          <w:rFonts w:ascii="Times New Roman" w:cs="Times New Roman" w:eastAsia="Times New Roman" w:hAnsi="Times New Roman"/>
          <w:i w:val="false"/>
          <w:iCs w:val="false"/>
          <w:sz w:val="20"/>
          <w:szCs w:val="20"/>
        </w:rPr>
        <w:t xml:space="preserve">Romantic love conceptualized as an attachment process.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52</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511–524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https://doi.org/10.1037/0022-3514.52.3.511</w:t>
      </w:r>
    </w:p>
    <w:p>
      <w:pPr>
        <w:spacing w:after="90" w:line="260"/>
        <w:ind w:left="540" w:hanging="540"/>
      </w:pPr>
      <w:r>
        <w:rPr>
          <w:rFonts w:ascii="Times New Roman" w:cs="Times New Roman" w:eastAsia="Times New Roman" w:hAnsi="Times New Roman"/>
          <w:i w:val="false"/>
          <w:iCs w:val="false"/>
          <w:sz w:val="20"/>
          <w:szCs w:val="20"/>
        </w:rPr>
        <w:t xml:space="preserve">Henrich, J., Heine, S. J., &amp; Norenzayan, A. (2010). </w:t>
      </w:r>
      <w:r>
        <w:rPr>
          <w:rFonts w:ascii="Times New Roman" w:cs="Times New Roman" w:eastAsia="Times New Roman" w:hAnsi="Times New Roman"/>
          <w:i w:val="false"/>
          <w:iCs w:val="false"/>
          <w:sz w:val="20"/>
          <w:szCs w:val="20"/>
        </w:rPr>
        <w:t xml:space="preserve">The weirdest people in the world? </w:t>
      </w:r>
      <w:r>
        <w:rPr>
          <w:rFonts w:ascii="Times New Roman" w:cs="Times New Roman" w:eastAsia="Times New Roman" w:hAnsi="Times New Roman"/>
          <w:i/>
          <w:iCs/>
          <w:sz w:val="20"/>
          <w:szCs w:val="20"/>
        </w:rPr>
        <w:t xml:space="preserve">Behavioral and Brain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33</w:t>
      </w:r>
      <w:r>
        <w:rPr>
          <w:rFonts w:ascii="Times New Roman" w:cs="Times New Roman" w:eastAsia="Times New Roman" w:hAnsi="Times New Roman"/>
          <w:i w:val="false"/>
          <w:iCs w:val="false"/>
          <w:sz w:val="20"/>
          <w:szCs w:val="20"/>
        </w:rPr>
        <w:t xml:space="preserve">(2-3)</w:t>
      </w:r>
      <w:r>
        <w:rPr>
          <w:rFonts w:ascii="Times New Roman" w:cs="Times New Roman" w:eastAsia="Times New Roman" w:hAnsi="Times New Roman"/>
          <w:i w:val="false"/>
          <w:iCs w:val="false"/>
          <w:sz w:val="20"/>
          <w:szCs w:val="20"/>
        </w:rPr>
        <w:t xml:space="preserve">, 61–83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https://doi.org/10.1017/S0140525X0999152X</w:t>
      </w:r>
    </w:p>
    <w:p>
      <w:pPr>
        <w:spacing w:after="90" w:line="260"/>
        <w:ind w:left="540" w:hanging="540"/>
      </w:pPr>
      <w:r>
        <w:rPr>
          <w:rFonts w:ascii="Times New Roman" w:cs="Times New Roman" w:eastAsia="Times New Roman" w:hAnsi="Times New Roman"/>
          <w:i w:val="false"/>
          <w:iCs w:val="false"/>
          <w:sz w:val="20"/>
          <w:szCs w:val="20"/>
        </w:rPr>
        <w:t xml:space="preserve">Heyman, R. E., &amp; Slep, A. M. S. (2001). </w:t>
      </w:r>
      <w:r>
        <w:rPr>
          <w:rFonts w:ascii="Times New Roman" w:cs="Times New Roman" w:eastAsia="Times New Roman" w:hAnsi="Times New Roman"/>
          <w:i w:val="false"/>
          <w:iCs w:val="false"/>
          <w:sz w:val="20"/>
          <w:szCs w:val="20"/>
        </w:rPr>
        <w:t xml:space="preserve">The hazards of predicting divorce without crossvalidation. </w:t>
      </w:r>
      <w:r>
        <w:rPr>
          <w:rFonts w:ascii="Times New Roman" w:cs="Times New Roman" w:eastAsia="Times New Roman" w:hAnsi="Times New Roman"/>
          <w:i/>
          <w:iCs/>
          <w:sz w:val="20"/>
          <w:szCs w:val="20"/>
        </w:rPr>
        <w:t xml:space="preserve">Journal of Marriage and Family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63</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473–479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https://doi.org/10.1111/j.1741-3737.2001.00473.x</w:t>
      </w:r>
    </w:p>
    <w:p>
      <w:pPr>
        <w:spacing w:after="90" w:line="260"/>
        <w:ind w:left="540" w:hanging="540"/>
      </w:pPr>
      <w:r>
        <w:rPr>
          <w:rFonts w:ascii="Times New Roman" w:cs="Times New Roman" w:eastAsia="Times New Roman" w:hAnsi="Times New Roman"/>
          <w:i w:val="false"/>
          <w:iCs w:val="false"/>
          <w:sz w:val="20"/>
          <w:szCs w:val="20"/>
        </w:rPr>
        <w:t xml:space="preserve">Joel, S., Eastwick, P. W., &amp; Finkel, E. J. (2017). </w:t>
      </w:r>
      <w:r>
        <w:rPr>
          <w:rFonts w:ascii="Times New Roman" w:cs="Times New Roman" w:eastAsia="Times New Roman" w:hAnsi="Times New Roman"/>
          <w:i w:val="false"/>
          <w:iCs w:val="false"/>
          <w:sz w:val="20"/>
          <w:szCs w:val="20"/>
        </w:rPr>
        <w:t xml:space="preserve">Is romantic desire predictable? Machine learning applied to initial romantic attraction.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28</w:t>
      </w:r>
      <w:r>
        <w:rPr>
          <w:rFonts w:ascii="Times New Roman" w:cs="Times New Roman" w:eastAsia="Times New Roman" w:hAnsi="Times New Roman"/>
          <w:i w:val="false"/>
          <w:iCs w:val="false"/>
          <w:sz w:val="20"/>
          <w:szCs w:val="20"/>
        </w:rPr>
        <w:t xml:space="preserve">(10)</w:t>
      </w:r>
      <w:r>
        <w:rPr>
          <w:rFonts w:ascii="Times New Roman" w:cs="Times New Roman" w:eastAsia="Times New Roman" w:hAnsi="Times New Roman"/>
          <w:i w:val="false"/>
          <w:iCs w:val="false"/>
          <w:sz w:val="20"/>
          <w:szCs w:val="20"/>
        </w:rPr>
        <w:t xml:space="preserve">, 1478–1489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https://doi.org/10.1177/0956797617714580</w:t>
      </w:r>
    </w:p>
    <w:p>
      <w:pPr>
        <w:spacing w:after="90" w:line="260"/>
        <w:ind w:left="540" w:hanging="540"/>
      </w:pPr>
      <w:r>
        <w:rPr>
          <w:rFonts w:ascii="Times New Roman" w:cs="Times New Roman" w:eastAsia="Times New Roman" w:hAnsi="Times New Roman"/>
          <w:i w:val="false"/>
          <w:iCs w:val="false"/>
          <w:sz w:val="20"/>
          <w:szCs w:val="20"/>
        </w:rPr>
        <w:t xml:space="preserve">Joel, S., Eastwick, P. W., Allison, C. J., Arriaga, X. B., Baker, Z. G., Bar-Kalifa, E., Bergeron, S., Birnbaum, G. E., Brock, R. L., Brumbaugh, C. C., Carmichael, C. L., Chen, S., Clarke, J., Cobb, R. J., Coolsen, M. K., Davis, J., de Jong, D. C., Debrot, A., DeHaas, E. C., . . . Wolf, S. (2020). </w:t>
      </w:r>
      <w:r>
        <w:rPr>
          <w:rFonts w:ascii="Times New Roman" w:cs="Times New Roman" w:eastAsia="Times New Roman" w:hAnsi="Times New Roman"/>
          <w:i w:val="false"/>
          <w:iCs w:val="false"/>
          <w:sz w:val="20"/>
          <w:szCs w:val="20"/>
        </w:rPr>
        <w:t xml:space="preserve">Machine learning uncovers the most robust self-report predictors of relationship quality across 43 longitudinal couples studies.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117</w:t>
      </w:r>
      <w:r>
        <w:rPr>
          <w:rFonts w:ascii="Times New Roman" w:cs="Times New Roman" w:eastAsia="Times New Roman" w:hAnsi="Times New Roman"/>
          <w:i w:val="false"/>
          <w:iCs w:val="false"/>
          <w:sz w:val="20"/>
          <w:szCs w:val="20"/>
        </w:rPr>
        <w:t xml:space="preserve">(32)</w:t>
      </w:r>
      <w:r>
        <w:rPr>
          <w:rFonts w:ascii="Times New Roman" w:cs="Times New Roman" w:eastAsia="Times New Roman" w:hAnsi="Times New Roman"/>
          <w:i w:val="false"/>
          <w:iCs w:val="false"/>
          <w:sz w:val="20"/>
          <w:szCs w:val="20"/>
        </w:rPr>
        <w:t xml:space="preserve">, 19061–19071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https://doi.org/10.1073/pnas.1917036117</w:t>
      </w:r>
    </w:p>
    <w:p>
      <w:pPr>
        <w:spacing w:after="90" w:line="260"/>
        <w:ind w:left="540" w:hanging="540"/>
      </w:pPr>
      <w:r>
        <w:rPr>
          <w:rFonts w:ascii="Times New Roman" w:cs="Times New Roman" w:eastAsia="Times New Roman" w:hAnsi="Times New Roman"/>
          <w:i w:val="false"/>
          <w:iCs w:val="false"/>
          <w:sz w:val="20"/>
          <w:szCs w:val="20"/>
        </w:rPr>
        <w:t xml:space="preserve">Kahneman, D., &amp; Tversky, A. (1973). </w:t>
      </w:r>
      <w:r>
        <w:rPr>
          <w:rFonts w:ascii="Times New Roman" w:cs="Times New Roman" w:eastAsia="Times New Roman" w:hAnsi="Times New Roman"/>
          <w:i w:val="false"/>
          <w:iCs w:val="false"/>
          <w:sz w:val="20"/>
          <w:szCs w:val="20"/>
        </w:rPr>
        <w:t xml:space="preserve">On the psychology of prediction. </w:t>
      </w:r>
      <w:r>
        <w:rPr>
          <w:rFonts w:ascii="Times New Roman" w:cs="Times New Roman" w:eastAsia="Times New Roman" w:hAnsi="Times New Roman"/>
          <w:i/>
          <w:iCs/>
          <w:sz w:val="20"/>
          <w:szCs w:val="20"/>
        </w:rPr>
        <w:t xml:space="preserve">Psychological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80</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237–251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https://doi.org/10.1037/h0034747</w:t>
      </w:r>
    </w:p>
    <w:p>
      <w:pPr>
        <w:spacing w:after="90" w:line="260"/>
        <w:ind w:left="540" w:hanging="540"/>
      </w:pPr>
      <w:r>
        <w:rPr>
          <w:rFonts w:ascii="Times New Roman" w:cs="Times New Roman" w:eastAsia="Times New Roman" w:hAnsi="Times New Roman"/>
          <w:i w:val="false"/>
          <w:iCs w:val="false"/>
          <w:sz w:val="20"/>
          <w:szCs w:val="20"/>
        </w:rPr>
        <w:t xml:space="preserve">Karney, B. R., &amp; Bradbury, T. N. (1995). </w:t>
      </w:r>
      <w:r>
        <w:rPr>
          <w:rFonts w:ascii="Times New Roman" w:cs="Times New Roman" w:eastAsia="Times New Roman" w:hAnsi="Times New Roman"/>
          <w:i w:val="false"/>
          <w:iCs w:val="false"/>
          <w:sz w:val="20"/>
          <w:szCs w:val="20"/>
        </w:rPr>
        <w:t xml:space="preserve">The longitudinal course of marital quality and stability: A review of theory, method, and research.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118</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3–34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https://doi.org/10.1037/0033-2909.118.1.3</w:t>
      </w:r>
    </w:p>
    <w:p>
      <w:pPr>
        <w:spacing w:after="90" w:line="260"/>
        <w:ind w:left="540" w:hanging="540"/>
      </w:pPr>
      <w:r>
        <w:rPr>
          <w:rFonts w:ascii="Times New Roman" w:cs="Times New Roman" w:eastAsia="Times New Roman" w:hAnsi="Times New Roman"/>
          <w:i w:val="false"/>
          <w:iCs w:val="false"/>
          <w:sz w:val="20"/>
          <w:szCs w:val="20"/>
        </w:rPr>
        <w:t xml:space="preserve">Kenny, D. A., &amp; La Voie, L. (1984). </w:t>
      </w:r>
      <w:r>
        <w:rPr>
          <w:rFonts w:ascii="Times New Roman" w:cs="Times New Roman" w:eastAsia="Times New Roman" w:hAnsi="Times New Roman"/>
          <w:i w:val="false"/>
          <w:iCs w:val="false"/>
          <w:sz w:val="20"/>
          <w:szCs w:val="20"/>
        </w:rPr>
        <w:t xml:space="preserve">The social relations model. </w:t>
      </w:r>
      <w:r>
        <w:rPr>
          <w:rFonts w:ascii="Times New Roman" w:cs="Times New Roman" w:eastAsia="Times New Roman" w:hAnsi="Times New Roman"/>
          <w:i/>
          <w:iCs/>
          <w:sz w:val="20"/>
          <w:szCs w:val="20"/>
        </w:rPr>
        <w:t xml:space="preserve">Advances in Experimental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18</w:t>
      </w:r>
      <w:r>
        <w:rPr>
          <w:rFonts w:ascii="Times New Roman" w:cs="Times New Roman" w:eastAsia="Times New Roman" w:hAnsi="Times New Roman"/>
          <w:i w:val="false"/>
          <w:iCs w:val="false"/>
          <w:sz w:val="20"/>
          <w:szCs w:val="20"/>
        </w:rPr>
        <w:t xml:space="preserve">, 141–182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https://doi.org/10.1016/S0065-2601(08)60144-6</w:t>
      </w:r>
    </w:p>
    <w:p>
      <w:pPr>
        <w:spacing w:after="90" w:line="260"/>
        <w:ind w:left="540" w:hanging="540"/>
      </w:pPr>
      <w:r>
        <w:rPr>
          <w:rFonts w:ascii="Times New Roman" w:cs="Times New Roman" w:eastAsia="Times New Roman" w:hAnsi="Times New Roman"/>
          <w:i w:val="false"/>
          <w:iCs w:val="false"/>
          <w:sz w:val="20"/>
          <w:szCs w:val="20"/>
        </w:rPr>
        <w:t xml:space="preserve">Kenny, D. A., Kashy, D. A., &amp; Cook, W. L. (2006). </w:t>
      </w:r>
      <w:r>
        <w:rPr>
          <w:rFonts w:ascii="Times New Roman" w:cs="Times New Roman" w:eastAsia="Times New Roman" w:hAnsi="Times New Roman"/>
          <w:i/>
          <w:iCs/>
          <w:sz w:val="20"/>
          <w:szCs w:val="20"/>
        </w:rPr>
        <w:t xml:space="preserve">Dyadic data analysis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val="false"/>
          <w:iCs w:val="false"/>
          <w:sz w:val="20"/>
          <w:szCs w:val="20"/>
        </w:rPr>
        <w:t xml:space="preserve">Guilford Press.</w:t>
      </w:r>
    </w:p>
    <w:p>
      <w:pPr>
        <w:spacing w:after="90" w:line="260"/>
        <w:ind w:left="540" w:hanging="540"/>
      </w:pPr>
      <w:r>
        <w:rPr>
          <w:rFonts w:ascii="Times New Roman" w:cs="Times New Roman" w:eastAsia="Times New Roman" w:hAnsi="Times New Roman"/>
          <w:i w:val="false"/>
          <w:iCs w:val="false"/>
          <w:sz w:val="20"/>
          <w:szCs w:val="20"/>
        </w:rPr>
        <w:t xml:space="preserve">Kosinski, M., Stillwell, D., &amp; Graepel, T. (2013). </w:t>
      </w:r>
      <w:r>
        <w:rPr>
          <w:rFonts w:ascii="Times New Roman" w:cs="Times New Roman" w:eastAsia="Times New Roman" w:hAnsi="Times New Roman"/>
          <w:i w:val="false"/>
          <w:iCs w:val="false"/>
          <w:sz w:val="20"/>
          <w:szCs w:val="20"/>
        </w:rPr>
        <w:t xml:space="preserve">Private traits and attributes are predictable from digital records of human behavior.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110</w:t>
      </w:r>
      <w:r>
        <w:rPr>
          <w:rFonts w:ascii="Times New Roman" w:cs="Times New Roman" w:eastAsia="Times New Roman" w:hAnsi="Times New Roman"/>
          <w:i w:val="false"/>
          <w:iCs w:val="false"/>
          <w:sz w:val="20"/>
          <w:szCs w:val="20"/>
        </w:rPr>
        <w:t xml:space="preserve">(15)</w:t>
      </w:r>
      <w:r>
        <w:rPr>
          <w:rFonts w:ascii="Times New Roman" w:cs="Times New Roman" w:eastAsia="Times New Roman" w:hAnsi="Times New Roman"/>
          <w:i w:val="false"/>
          <w:iCs w:val="false"/>
          <w:sz w:val="20"/>
          <w:szCs w:val="20"/>
        </w:rPr>
        <w:t xml:space="preserve">, 5802–5805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https://doi.org/10.1073/pnas.1218772110</w:t>
      </w:r>
    </w:p>
    <w:p>
      <w:pPr>
        <w:spacing w:after="90" w:line="260"/>
        <w:ind w:left="540" w:hanging="540"/>
      </w:pPr>
      <w:r>
        <w:rPr>
          <w:rFonts w:ascii="Times New Roman" w:cs="Times New Roman" w:eastAsia="Times New Roman" w:hAnsi="Times New Roman"/>
          <w:i w:val="false"/>
          <w:iCs w:val="false"/>
          <w:sz w:val="20"/>
          <w:szCs w:val="20"/>
        </w:rPr>
        <w:t xml:space="preserve">Kurdek, L. A. (2004). </w:t>
      </w:r>
      <w:r>
        <w:rPr>
          <w:rFonts w:ascii="Times New Roman" w:cs="Times New Roman" w:eastAsia="Times New Roman" w:hAnsi="Times New Roman"/>
          <w:i w:val="false"/>
          <w:iCs w:val="false"/>
          <w:sz w:val="20"/>
          <w:szCs w:val="20"/>
        </w:rPr>
        <w:t xml:space="preserve">Are gay and lesbian cohabiting couples really different from heterosexual married couples? </w:t>
      </w:r>
      <w:r>
        <w:rPr>
          <w:rFonts w:ascii="Times New Roman" w:cs="Times New Roman" w:eastAsia="Times New Roman" w:hAnsi="Times New Roman"/>
          <w:i/>
          <w:iCs/>
          <w:sz w:val="20"/>
          <w:szCs w:val="20"/>
        </w:rPr>
        <w:t xml:space="preserve">Journal of Marriage and Family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66</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880–900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https://doi.org/10.1111/j.0022-2445.2004.00060.x</w:t>
      </w:r>
    </w:p>
    <w:p>
      <w:pPr>
        <w:spacing w:after="90" w:line="260"/>
        <w:ind w:left="540" w:hanging="540"/>
      </w:pPr>
      <w:r>
        <w:rPr>
          <w:rFonts w:ascii="Times New Roman" w:cs="Times New Roman" w:eastAsia="Times New Roman" w:hAnsi="Times New Roman"/>
          <w:i w:val="false"/>
          <w:iCs w:val="false"/>
          <w:sz w:val="20"/>
          <w:szCs w:val="20"/>
        </w:rPr>
        <w:t xml:space="preserve">Lakens, D., &amp; Caldwell, A. R. (2021). </w:t>
      </w:r>
      <w:r>
        <w:rPr>
          <w:rFonts w:ascii="Times New Roman" w:cs="Times New Roman" w:eastAsia="Times New Roman" w:hAnsi="Times New Roman"/>
          <w:i w:val="false"/>
          <w:iCs w:val="false"/>
          <w:sz w:val="20"/>
          <w:szCs w:val="20"/>
        </w:rPr>
        <w:t xml:space="preserve">Simulation-based power analysis for factorial analysis of variance designs. </w:t>
      </w:r>
      <w:r>
        <w:rPr>
          <w:rFonts w:ascii="Times New Roman" w:cs="Times New Roman" w:eastAsia="Times New Roman" w:hAnsi="Times New Roman"/>
          <w:i/>
          <w:iCs/>
          <w:sz w:val="20"/>
          <w:szCs w:val="20"/>
        </w:rPr>
        <w:t xml:space="preserve">Advances in Methods and Practices in 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2515245920951503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https://doi.org/10.1177/2515245920951503</w:t>
      </w:r>
    </w:p>
    <w:p>
      <w:pPr>
        <w:spacing w:after="90" w:line="260"/>
        <w:ind w:left="540" w:hanging="540"/>
      </w:pPr>
      <w:r>
        <w:rPr>
          <w:rFonts w:ascii="Times New Roman" w:cs="Times New Roman" w:eastAsia="Times New Roman" w:hAnsi="Times New Roman"/>
          <w:i w:val="false"/>
          <w:iCs w:val="false"/>
          <w:sz w:val="20"/>
          <w:szCs w:val="20"/>
        </w:rPr>
        <w:t xml:space="preserve">Le, B., Dove, N. L., Agnew, C. R., Korn, M. S., &amp; Mutso, A. A. (2010). </w:t>
      </w:r>
      <w:r>
        <w:rPr>
          <w:rFonts w:ascii="Times New Roman" w:cs="Times New Roman" w:eastAsia="Times New Roman" w:hAnsi="Times New Roman"/>
          <w:i w:val="false"/>
          <w:iCs w:val="false"/>
          <w:sz w:val="20"/>
          <w:szCs w:val="20"/>
        </w:rPr>
        <w:t xml:space="preserve">Predicting nonmarital romantic relationship dissolution: A meta-analytic synthesis. </w:t>
      </w:r>
      <w:r>
        <w:rPr>
          <w:rFonts w:ascii="Times New Roman" w:cs="Times New Roman" w:eastAsia="Times New Roman" w:hAnsi="Times New Roman"/>
          <w:i/>
          <w:iCs/>
          <w:sz w:val="20"/>
          <w:szCs w:val="20"/>
        </w:rPr>
        <w:t xml:space="preserve">Personal Relationships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17</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377–390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https://doi.org/10.1111/j.1475-6811.2010.01285.x</w:t>
      </w:r>
    </w:p>
    <w:p>
      <w:pPr>
        <w:spacing w:after="90" w:line="260"/>
        <w:ind w:left="540" w:hanging="540"/>
      </w:pPr>
      <w:r>
        <w:rPr>
          <w:rFonts w:ascii="Times New Roman" w:cs="Times New Roman" w:eastAsia="Times New Roman" w:hAnsi="Times New Roman"/>
          <w:i w:val="false"/>
          <w:iCs w:val="false"/>
          <w:sz w:val="20"/>
          <w:szCs w:val="20"/>
        </w:rPr>
        <w:t xml:space="preserve">Meehl, P. E. (1954). </w:t>
      </w:r>
      <w:r>
        <w:rPr>
          <w:rFonts w:ascii="Times New Roman" w:cs="Times New Roman" w:eastAsia="Times New Roman" w:hAnsi="Times New Roman"/>
          <w:i/>
          <w:iCs/>
          <w:sz w:val="20"/>
          <w:szCs w:val="20"/>
        </w:rPr>
        <w:t xml:space="preserve">Clinical versus statistical prediction: A theoretical analysis and a review of the evidence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val="false"/>
          <w:iCs w:val="false"/>
          <w:sz w:val="20"/>
          <w:szCs w:val="20"/>
        </w:rPr>
        <w:t xml:space="preserve">University of Minnesota Press.</w:t>
      </w:r>
      <w:r>
        <w:rPr>
          <w:rFonts w:ascii="Times New Roman" w:cs="Times New Roman" w:eastAsia="Times New Roman" w:hAnsi="Times New Roman"/>
          <w:i w:val="false"/>
          <w:iCs w:val="false"/>
          <w:sz w:val="20"/>
          <w:szCs w:val="20"/>
        </w:rPr>
        <w:t xml:space="preserve"> https://doi.org/10.1037/11281-000</w:t>
      </w:r>
    </w:p>
    <w:p>
      <w:pPr>
        <w:spacing w:after="90" w:line="260"/>
        <w:ind w:left="540" w:hanging="540"/>
      </w:pPr>
      <w:r>
        <w:rPr>
          <w:rFonts w:ascii="Times New Roman" w:cs="Times New Roman" w:eastAsia="Times New Roman" w:hAnsi="Times New Roman"/>
          <w:i w:val="false"/>
          <w:iCs w:val="false"/>
          <w:sz w:val="20"/>
          <w:szCs w:val="20"/>
        </w:rPr>
        <w:t xml:space="preserve">Nagin, D. S. (1999). </w:t>
      </w:r>
      <w:r>
        <w:rPr>
          <w:rFonts w:ascii="Times New Roman" w:cs="Times New Roman" w:eastAsia="Times New Roman" w:hAnsi="Times New Roman"/>
          <w:i w:val="false"/>
          <w:iCs w:val="false"/>
          <w:sz w:val="20"/>
          <w:szCs w:val="20"/>
        </w:rPr>
        <w:t xml:space="preserve">Analyzing developmental trajectories: A semiparametric, group-based approach. </w:t>
      </w:r>
      <w:r>
        <w:rPr>
          <w:rFonts w:ascii="Times New Roman" w:cs="Times New Roman" w:eastAsia="Times New Roman" w:hAnsi="Times New Roman"/>
          <w:i/>
          <w:iCs/>
          <w:sz w:val="20"/>
          <w:szCs w:val="20"/>
        </w:rPr>
        <w:t xml:space="preserve">Psychological Methods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139–157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https://doi.org/10.1037/1082-989X.4.2.139</w:t>
      </w:r>
    </w:p>
    <w:p>
      <w:pPr>
        <w:spacing w:after="90" w:line="260"/>
        <w:ind w:left="540" w:hanging="540"/>
      </w:pPr>
      <w:r>
        <w:rPr>
          <w:rFonts w:ascii="Times New Roman" w:cs="Times New Roman" w:eastAsia="Times New Roman" w:hAnsi="Times New Roman"/>
          <w:i w:val="false"/>
          <w:iCs w:val="false"/>
          <w:sz w:val="20"/>
          <w:szCs w:val="20"/>
        </w:rPr>
        <w:t xml:space="preserve">Norris, J. R. (1997). </w:t>
      </w:r>
      <w:r>
        <w:rPr>
          <w:rFonts w:ascii="Times New Roman" w:cs="Times New Roman" w:eastAsia="Times New Roman" w:hAnsi="Times New Roman"/>
          <w:i/>
          <w:iCs/>
          <w:sz w:val="20"/>
          <w:szCs w:val="20"/>
        </w:rPr>
        <w:t xml:space="preserve">Markov chains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val="false"/>
          <w:iCs w:val="false"/>
          <w:sz w:val="20"/>
          <w:szCs w:val="20"/>
        </w:rPr>
        <w:t xml:space="preserve">Cambridge University Press.</w:t>
      </w:r>
      <w:r>
        <w:rPr>
          <w:rFonts w:ascii="Times New Roman" w:cs="Times New Roman" w:eastAsia="Times New Roman" w:hAnsi="Times New Roman"/>
          <w:i w:val="false"/>
          <w:iCs w:val="false"/>
          <w:sz w:val="20"/>
          <w:szCs w:val="20"/>
        </w:rPr>
        <w:t xml:space="preserve"> https://doi.org/10.1017/CBO9780511810633</w:t>
      </w:r>
    </w:p>
    <w:p>
      <w:pPr>
        <w:spacing w:after="90" w:line="260"/>
        <w:ind w:left="540" w:hanging="540"/>
      </w:pPr>
      <w:r>
        <w:rPr>
          <w:rFonts w:ascii="Times New Roman" w:cs="Times New Roman" w:eastAsia="Times New Roman" w:hAnsi="Times New Roman"/>
          <w:i w:val="false"/>
          <w:iCs w:val="false"/>
          <w:sz w:val="20"/>
          <w:szCs w:val="20"/>
        </w:rPr>
        <w:t xml:space="preserve">Norton, M. I., Frost, J. H., &amp; Ariely, D. (2007). </w:t>
      </w:r>
      <w:r>
        <w:rPr>
          <w:rFonts w:ascii="Times New Roman" w:cs="Times New Roman" w:eastAsia="Times New Roman" w:hAnsi="Times New Roman"/>
          <w:i w:val="false"/>
          <w:iCs w:val="false"/>
          <w:sz w:val="20"/>
          <w:szCs w:val="20"/>
        </w:rPr>
        <w:t xml:space="preserve">Less is more: The lure of ambiguity, or why familiarity breeds contempt.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92</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97–105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https://doi.org/10.1037/0022-3514.92.1.97</w:t>
      </w:r>
    </w:p>
    <w:p>
      <w:pPr>
        <w:spacing w:after="90" w:line="260"/>
        <w:ind w:left="540" w:hanging="540"/>
      </w:pPr>
      <w:r>
        <w:rPr>
          <w:rFonts w:ascii="Times New Roman" w:cs="Times New Roman" w:eastAsia="Times New Roman" w:hAnsi="Times New Roman"/>
          <w:i w:val="false"/>
          <w:iCs w:val="false"/>
          <w:sz w:val="20"/>
          <w:szCs w:val="20"/>
        </w:rPr>
        <w:t xml:space="preserve">Nosek, B. A., Ebersole, C. R., DeHaven, A. C., &amp; Mellor, D. T. (2018). </w:t>
      </w:r>
      <w:r>
        <w:rPr>
          <w:rFonts w:ascii="Times New Roman" w:cs="Times New Roman" w:eastAsia="Times New Roman" w:hAnsi="Times New Roman"/>
          <w:i w:val="false"/>
          <w:iCs w:val="false"/>
          <w:sz w:val="20"/>
          <w:szCs w:val="20"/>
        </w:rPr>
        <w:t xml:space="preserve">The preregistration revolution.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115</w:t>
      </w:r>
      <w:r>
        <w:rPr>
          <w:rFonts w:ascii="Times New Roman" w:cs="Times New Roman" w:eastAsia="Times New Roman" w:hAnsi="Times New Roman"/>
          <w:i w:val="false"/>
          <w:iCs w:val="false"/>
          <w:sz w:val="20"/>
          <w:szCs w:val="20"/>
        </w:rPr>
        <w:t xml:space="preserve">(11)</w:t>
      </w:r>
      <w:r>
        <w:rPr>
          <w:rFonts w:ascii="Times New Roman" w:cs="Times New Roman" w:eastAsia="Times New Roman" w:hAnsi="Times New Roman"/>
          <w:i w:val="false"/>
          <w:iCs w:val="false"/>
          <w:sz w:val="20"/>
          <w:szCs w:val="20"/>
        </w:rPr>
        <w:t xml:space="preserve">, 2600–2606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https://doi.org/10.1073/pnas.1708274114</w:t>
      </w:r>
    </w:p>
    <w:p>
      <w:pPr>
        <w:spacing w:after="90" w:line="260"/>
        <w:ind w:left="540" w:hanging="540"/>
      </w:pPr>
      <w:r>
        <w:rPr>
          <w:rFonts w:ascii="Times New Roman" w:cs="Times New Roman" w:eastAsia="Times New Roman" w:hAnsi="Times New Roman"/>
          <w:i w:val="false"/>
          <w:iCs w:val="false"/>
          <w:sz w:val="20"/>
          <w:szCs w:val="20"/>
        </w:rPr>
        <w:t xml:space="preserve">Obermeyer, Z., Powers, B., Vogeli, C., &amp; Mullainathan, S. (2019). </w:t>
      </w:r>
      <w:r>
        <w:rPr>
          <w:rFonts w:ascii="Times New Roman" w:cs="Times New Roman" w:eastAsia="Times New Roman" w:hAnsi="Times New Roman"/>
          <w:i w:val="false"/>
          <w:iCs w:val="false"/>
          <w:sz w:val="20"/>
          <w:szCs w:val="20"/>
        </w:rPr>
        <w:t xml:space="preserve">Dissecting racial bias in an algorithm used to manage the health of populations. </w:t>
      </w:r>
      <w:r>
        <w:rPr>
          <w:rFonts w:ascii="Times New Roman" w:cs="Times New Roman" w:eastAsia="Times New Roman" w:hAnsi="Times New Roman"/>
          <w:i/>
          <w:iCs/>
          <w:sz w:val="20"/>
          <w:szCs w:val="20"/>
        </w:rPr>
        <w:t xml:space="preserve">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366</w:t>
      </w:r>
      <w:r>
        <w:rPr>
          <w:rFonts w:ascii="Times New Roman" w:cs="Times New Roman" w:eastAsia="Times New Roman" w:hAnsi="Times New Roman"/>
          <w:i w:val="false"/>
          <w:iCs w:val="false"/>
          <w:sz w:val="20"/>
          <w:szCs w:val="20"/>
        </w:rPr>
        <w:t xml:space="preserve">(6464)</w:t>
      </w:r>
      <w:r>
        <w:rPr>
          <w:rFonts w:ascii="Times New Roman" w:cs="Times New Roman" w:eastAsia="Times New Roman" w:hAnsi="Times New Roman"/>
          <w:i w:val="false"/>
          <w:iCs w:val="false"/>
          <w:sz w:val="20"/>
          <w:szCs w:val="20"/>
        </w:rPr>
        <w:t xml:space="preserve">, 447–453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https://doi.org/10.1126/science.aax2342</w:t>
      </w:r>
    </w:p>
    <w:p>
      <w:pPr>
        <w:spacing w:after="90" w:line="260"/>
        <w:ind w:left="540" w:hanging="540"/>
      </w:pPr>
      <w:r>
        <w:rPr>
          <w:rFonts w:ascii="Times New Roman" w:cs="Times New Roman" w:eastAsia="Times New Roman" w:hAnsi="Times New Roman"/>
          <w:i w:val="false"/>
          <w:iCs w:val="false"/>
          <w:sz w:val="20"/>
          <w:szCs w:val="20"/>
        </w:rPr>
        <w:t xml:space="preserve">Open Science Collaboration. (2015). </w:t>
      </w:r>
      <w:r>
        <w:rPr>
          <w:rFonts w:ascii="Times New Roman" w:cs="Times New Roman" w:eastAsia="Times New Roman" w:hAnsi="Times New Roman"/>
          <w:i w:val="false"/>
          <w:iCs w:val="false"/>
          <w:sz w:val="20"/>
          <w:szCs w:val="20"/>
        </w:rPr>
        <w:t xml:space="preserve">Estimating the reproducibility of psychological science. </w:t>
      </w:r>
      <w:r>
        <w:rPr>
          <w:rFonts w:ascii="Times New Roman" w:cs="Times New Roman" w:eastAsia="Times New Roman" w:hAnsi="Times New Roman"/>
          <w:i/>
          <w:iCs/>
          <w:sz w:val="20"/>
          <w:szCs w:val="20"/>
        </w:rPr>
        <w:t xml:space="preserve">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349</w:t>
      </w:r>
      <w:r>
        <w:rPr>
          <w:rFonts w:ascii="Times New Roman" w:cs="Times New Roman" w:eastAsia="Times New Roman" w:hAnsi="Times New Roman"/>
          <w:i w:val="false"/>
          <w:iCs w:val="false"/>
          <w:sz w:val="20"/>
          <w:szCs w:val="20"/>
        </w:rPr>
        <w:t xml:space="preserve">(6251)</w:t>
      </w:r>
      <w:r>
        <w:rPr>
          <w:rFonts w:ascii="Times New Roman" w:cs="Times New Roman" w:eastAsia="Times New Roman" w:hAnsi="Times New Roman"/>
          <w:i w:val="false"/>
          <w:iCs w:val="false"/>
          <w:sz w:val="20"/>
          <w:szCs w:val="20"/>
        </w:rPr>
        <w:t xml:space="preserve">, aac4716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https://doi.org/10.1126/science.aac4716</w:t>
      </w:r>
    </w:p>
    <w:p>
      <w:pPr>
        <w:spacing w:after="90" w:line="260"/>
        <w:ind w:left="540" w:hanging="540"/>
      </w:pPr>
      <w:r>
        <w:rPr>
          <w:rFonts w:ascii="Times New Roman" w:cs="Times New Roman" w:eastAsia="Times New Roman" w:hAnsi="Times New Roman"/>
          <w:i w:val="false"/>
          <w:iCs w:val="false"/>
          <w:sz w:val="20"/>
          <w:szCs w:val="20"/>
        </w:rPr>
        <w:t xml:space="preserve">Raue, A., Kreutz, C., Maiwald, T., Bachmann, J., Schilling, M., Klingmüller, U., &amp; Timmer, J. (2009). </w:t>
      </w:r>
      <w:r>
        <w:rPr>
          <w:rFonts w:ascii="Times New Roman" w:cs="Times New Roman" w:eastAsia="Times New Roman" w:hAnsi="Times New Roman"/>
          <w:i w:val="false"/>
          <w:iCs w:val="false"/>
          <w:sz w:val="20"/>
          <w:szCs w:val="20"/>
        </w:rPr>
        <w:t xml:space="preserve">Structural and practical identifiability analysis of partially observed dynamical models by exploiting the profile likelihood. </w:t>
      </w:r>
      <w:r>
        <w:rPr>
          <w:rFonts w:ascii="Times New Roman" w:cs="Times New Roman" w:eastAsia="Times New Roman" w:hAnsi="Times New Roman"/>
          <w:i/>
          <w:iCs/>
          <w:sz w:val="20"/>
          <w:szCs w:val="20"/>
        </w:rPr>
        <w:t xml:space="preserve">Bioinformatics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25</w:t>
      </w:r>
      <w:r>
        <w:rPr>
          <w:rFonts w:ascii="Times New Roman" w:cs="Times New Roman" w:eastAsia="Times New Roman" w:hAnsi="Times New Roman"/>
          <w:i w:val="false"/>
          <w:iCs w:val="false"/>
          <w:sz w:val="20"/>
          <w:szCs w:val="20"/>
        </w:rPr>
        <w:t xml:space="preserve">(15)</w:t>
      </w:r>
      <w:r>
        <w:rPr>
          <w:rFonts w:ascii="Times New Roman" w:cs="Times New Roman" w:eastAsia="Times New Roman" w:hAnsi="Times New Roman"/>
          <w:i w:val="false"/>
          <w:iCs w:val="false"/>
          <w:sz w:val="20"/>
          <w:szCs w:val="20"/>
        </w:rPr>
        <w:t xml:space="preserve">, 1923–1929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https://doi.org/10.1093/bioinformatics/btp358</w:t>
      </w:r>
    </w:p>
    <w:p>
      <w:pPr>
        <w:spacing w:after="90" w:line="260"/>
        <w:ind w:left="540" w:hanging="540"/>
      </w:pPr>
      <w:r>
        <w:rPr>
          <w:rFonts w:ascii="Times New Roman" w:cs="Times New Roman" w:eastAsia="Times New Roman" w:hAnsi="Times New Roman"/>
          <w:i w:val="false"/>
          <w:iCs w:val="false"/>
          <w:sz w:val="20"/>
          <w:szCs w:val="20"/>
        </w:rPr>
        <w:t xml:space="preserve">Reis, H. T., Maniaci, M. R., Caprariello, P. A., Eastwick, P. W., &amp; Finkel, E. J. (2011). </w:t>
      </w:r>
      <w:r>
        <w:rPr>
          <w:rFonts w:ascii="Times New Roman" w:cs="Times New Roman" w:eastAsia="Times New Roman" w:hAnsi="Times New Roman"/>
          <w:i w:val="false"/>
          <w:iCs w:val="false"/>
          <w:sz w:val="20"/>
          <w:szCs w:val="20"/>
        </w:rPr>
        <w:t xml:space="preserve">Familiarity does indeed promote attraction in live interaction.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101</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557–570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https://doi.org/10.1037/a0022885</w:t>
      </w:r>
    </w:p>
    <w:p>
      <w:pPr>
        <w:spacing w:after="90" w:line="260"/>
        <w:ind w:left="540" w:hanging="540"/>
      </w:pPr>
      <w:r>
        <w:rPr>
          <w:rFonts w:ascii="Times New Roman" w:cs="Times New Roman" w:eastAsia="Times New Roman" w:hAnsi="Times New Roman"/>
          <w:i w:val="false"/>
          <w:iCs w:val="false"/>
          <w:sz w:val="20"/>
          <w:szCs w:val="20"/>
        </w:rPr>
        <w:t xml:space="preserve">Salganik, M. J., Lundberg, I., Kindel, A. T., Ahearn, C. E., Al-Ghoneim, K., Almaatouq, A., Altschul, D. M., Brand, J. E., Carnegie, N. B., Compton, R. J., Datta, D., Davidson, T., Filippova, A., Gilroy, C., Goode, B. J., Jahani, E., Kashyap, R., Kirchner, A., McKay, S., . . . McLanahan, S. (2020). </w:t>
      </w:r>
      <w:r>
        <w:rPr>
          <w:rFonts w:ascii="Times New Roman" w:cs="Times New Roman" w:eastAsia="Times New Roman" w:hAnsi="Times New Roman"/>
          <w:i w:val="false"/>
          <w:iCs w:val="false"/>
          <w:sz w:val="20"/>
          <w:szCs w:val="20"/>
        </w:rPr>
        <w:t xml:space="preserve">Measuring the predictability of life outcomes with a scientific mass collaboration.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117</w:t>
      </w:r>
      <w:r>
        <w:rPr>
          <w:rFonts w:ascii="Times New Roman" w:cs="Times New Roman" w:eastAsia="Times New Roman" w:hAnsi="Times New Roman"/>
          <w:i w:val="false"/>
          <w:iCs w:val="false"/>
          <w:sz w:val="20"/>
          <w:szCs w:val="20"/>
        </w:rPr>
        <w:t xml:space="preserve">(15)</w:t>
      </w:r>
      <w:r>
        <w:rPr>
          <w:rFonts w:ascii="Times New Roman" w:cs="Times New Roman" w:eastAsia="Times New Roman" w:hAnsi="Times New Roman"/>
          <w:i w:val="false"/>
          <w:iCs w:val="false"/>
          <w:sz w:val="20"/>
          <w:szCs w:val="20"/>
        </w:rPr>
        <w:t xml:space="preserve">, 8398–8403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https://doi.org/10.1073/pnas.1915006117</w:t>
      </w:r>
    </w:p>
    <w:p>
      <w:pPr>
        <w:spacing w:after="90" w:line="260"/>
        <w:ind w:left="540" w:hanging="540"/>
      </w:pPr>
      <w:r>
        <w:rPr>
          <w:rFonts w:ascii="Times New Roman" w:cs="Times New Roman" w:eastAsia="Times New Roman" w:hAnsi="Times New Roman"/>
          <w:i w:val="false"/>
          <w:iCs w:val="false"/>
          <w:sz w:val="20"/>
          <w:szCs w:val="20"/>
        </w:rPr>
        <w:t xml:space="preserve">Simmons, J. P., Nelson, L. D., &amp; Simonsohn, U. (2011). </w:t>
      </w:r>
      <w:r>
        <w:rPr>
          <w:rFonts w:ascii="Times New Roman" w:cs="Times New Roman" w:eastAsia="Times New Roman" w:hAnsi="Times New Roman"/>
          <w:i w:val="false"/>
          <w:iCs w:val="false"/>
          <w:sz w:val="20"/>
          <w:szCs w:val="20"/>
        </w:rPr>
        <w:t xml:space="preserve">False-positive psychology: Undisclosed flexibility in data collection and analysis allows presenting anything as significant.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22</w:t>
      </w:r>
      <w:r>
        <w:rPr>
          <w:rFonts w:ascii="Times New Roman" w:cs="Times New Roman" w:eastAsia="Times New Roman" w:hAnsi="Times New Roman"/>
          <w:i w:val="false"/>
          <w:iCs w:val="false"/>
          <w:sz w:val="20"/>
          <w:szCs w:val="20"/>
        </w:rPr>
        <w:t xml:space="preserve">(11)</w:t>
      </w:r>
      <w:r>
        <w:rPr>
          <w:rFonts w:ascii="Times New Roman" w:cs="Times New Roman" w:eastAsia="Times New Roman" w:hAnsi="Times New Roman"/>
          <w:i w:val="false"/>
          <w:iCs w:val="false"/>
          <w:sz w:val="20"/>
          <w:szCs w:val="20"/>
        </w:rPr>
        <w:t xml:space="preserve">, 1359–1366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https://doi.org/10.1177/0956797611417632</w:t>
      </w:r>
    </w:p>
    <w:p>
      <w:pPr>
        <w:spacing w:after="90" w:line="260"/>
        <w:ind w:left="540" w:hanging="540"/>
      </w:pPr>
      <w:r>
        <w:rPr>
          <w:rFonts w:ascii="Times New Roman" w:cs="Times New Roman" w:eastAsia="Times New Roman" w:hAnsi="Times New Roman"/>
          <w:i w:val="false"/>
          <w:iCs w:val="false"/>
          <w:sz w:val="20"/>
          <w:szCs w:val="20"/>
        </w:rPr>
        <w:t xml:space="preserve">Singer, J. D., &amp; Willett, J. B. (1993). </w:t>
      </w:r>
      <w:r>
        <w:rPr>
          <w:rFonts w:ascii="Times New Roman" w:cs="Times New Roman" w:eastAsia="Times New Roman" w:hAnsi="Times New Roman"/>
          <w:i w:val="false"/>
          <w:iCs w:val="false"/>
          <w:sz w:val="20"/>
          <w:szCs w:val="20"/>
        </w:rPr>
        <w:t xml:space="preserve">It's about time: Using discrete-time survival analysis to study duration and the timing of events. </w:t>
      </w:r>
      <w:r>
        <w:rPr>
          <w:rFonts w:ascii="Times New Roman" w:cs="Times New Roman" w:eastAsia="Times New Roman" w:hAnsi="Times New Roman"/>
          <w:i/>
          <w:iCs/>
          <w:sz w:val="20"/>
          <w:szCs w:val="20"/>
        </w:rPr>
        <w:t xml:space="preserve">Journal of Educational Statistics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18</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155–195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https://doi.org/10.3102/10769986018002155</w:t>
      </w:r>
    </w:p>
    <w:p>
      <w:pPr>
        <w:spacing w:after="90" w:line="260"/>
        <w:ind w:left="540" w:hanging="540"/>
      </w:pPr>
      <w:r>
        <w:rPr>
          <w:rFonts w:ascii="Times New Roman" w:cs="Times New Roman" w:eastAsia="Times New Roman" w:hAnsi="Times New Roman"/>
          <w:i w:val="false"/>
          <w:iCs w:val="false"/>
          <w:sz w:val="20"/>
          <w:szCs w:val="20"/>
        </w:rPr>
        <w:t xml:space="preserve">Stanley, S. M., Bradbury, T. N., &amp; Markman, H. J. (2000). </w:t>
      </w:r>
      <w:r>
        <w:rPr>
          <w:rFonts w:ascii="Times New Roman" w:cs="Times New Roman" w:eastAsia="Times New Roman" w:hAnsi="Times New Roman"/>
          <w:i w:val="false"/>
          <w:iCs w:val="false"/>
          <w:sz w:val="20"/>
          <w:szCs w:val="20"/>
        </w:rPr>
        <w:t xml:space="preserve">Structural flaws in the bridge from basic research on marriage to interventions for couples. </w:t>
      </w:r>
      <w:r>
        <w:rPr>
          <w:rFonts w:ascii="Times New Roman" w:cs="Times New Roman" w:eastAsia="Times New Roman" w:hAnsi="Times New Roman"/>
          <w:i/>
          <w:iCs/>
          <w:sz w:val="20"/>
          <w:szCs w:val="20"/>
        </w:rPr>
        <w:t xml:space="preserve">Journal of Marriage and Family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62</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256–264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https://doi.org/10.1111/j.1741-3737.2000.00256.x</w:t>
      </w:r>
    </w:p>
    <w:p>
      <w:pPr>
        <w:spacing w:after="90" w:line="260"/>
        <w:ind w:left="540" w:hanging="540"/>
      </w:pPr>
      <w:r>
        <w:rPr>
          <w:rFonts w:ascii="Times New Roman" w:cs="Times New Roman" w:eastAsia="Times New Roman" w:hAnsi="Times New Roman"/>
          <w:i w:val="false"/>
          <w:iCs w:val="false"/>
          <w:sz w:val="20"/>
          <w:szCs w:val="20"/>
        </w:rPr>
        <w:t xml:space="preserve">Strathern, M. (1997). </w:t>
      </w:r>
      <w:r>
        <w:rPr>
          <w:rFonts w:ascii="Times New Roman" w:cs="Times New Roman" w:eastAsia="Times New Roman" w:hAnsi="Times New Roman"/>
          <w:i w:val="false"/>
          <w:iCs w:val="false"/>
          <w:sz w:val="20"/>
          <w:szCs w:val="20"/>
        </w:rPr>
        <w:t xml:space="preserve">'Improving ratings': Audit in the British University system. </w:t>
      </w:r>
      <w:r>
        <w:rPr>
          <w:rFonts w:ascii="Times New Roman" w:cs="Times New Roman" w:eastAsia="Times New Roman" w:hAnsi="Times New Roman"/>
          <w:i/>
          <w:iCs/>
          <w:sz w:val="20"/>
          <w:szCs w:val="20"/>
        </w:rPr>
        <w:t xml:space="preserve">European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305–321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https://doi.org/10.1002/(SICI)1234-981X(199707)5:3&lt;305::AID-EURO184&gt;3.0.CO;2-4</w:t>
      </w:r>
    </w:p>
    <w:p>
      <w:pPr>
        <w:spacing w:after="90" w:line="260"/>
        <w:ind w:left="540" w:hanging="540"/>
      </w:pPr>
      <w:r>
        <w:rPr>
          <w:rFonts w:ascii="Times New Roman" w:cs="Times New Roman" w:eastAsia="Times New Roman" w:hAnsi="Times New Roman"/>
          <w:i w:val="false"/>
          <w:iCs w:val="false"/>
          <w:sz w:val="20"/>
          <w:szCs w:val="20"/>
        </w:rPr>
        <w:t xml:space="preserve">Strogatz, S. H. (1988). </w:t>
      </w:r>
      <w:r>
        <w:rPr>
          <w:rFonts w:ascii="Times New Roman" w:cs="Times New Roman" w:eastAsia="Times New Roman" w:hAnsi="Times New Roman"/>
          <w:i w:val="false"/>
          <w:iCs w:val="false"/>
          <w:sz w:val="20"/>
          <w:szCs w:val="20"/>
        </w:rPr>
        <w:t xml:space="preserve">Love affairs and differential equations. </w:t>
      </w:r>
      <w:r>
        <w:rPr>
          <w:rFonts w:ascii="Times New Roman" w:cs="Times New Roman" w:eastAsia="Times New Roman" w:hAnsi="Times New Roman"/>
          <w:i/>
          <w:iCs/>
          <w:sz w:val="20"/>
          <w:szCs w:val="20"/>
        </w:rPr>
        <w:t xml:space="preserve">Mathematics Magazine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61</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https://doi.org/10.1080/0025570X.1988.11977342</w:t>
      </w:r>
    </w:p>
    <w:p>
      <w:pPr>
        <w:spacing w:after="90" w:line="260"/>
        <w:ind w:left="540" w:hanging="540"/>
      </w:pPr>
      <w:r>
        <w:rPr>
          <w:rFonts w:ascii="Times New Roman" w:cs="Times New Roman" w:eastAsia="Times New Roman" w:hAnsi="Times New Roman"/>
          <w:i w:val="false"/>
          <w:iCs w:val="false"/>
          <w:sz w:val="20"/>
          <w:szCs w:val="20"/>
        </w:rPr>
        <w:t xml:space="preserve">Van Calster, B., McLernon, D. J., van Smeden, M., Wynants, L., &amp; Steyerberg, E. W. (2019). </w:t>
      </w:r>
      <w:r>
        <w:rPr>
          <w:rFonts w:ascii="Times New Roman" w:cs="Times New Roman" w:eastAsia="Times New Roman" w:hAnsi="Times New Roman"/>
          <w:i w:val="false"/>
          <w:iCs w:val="false"/>
          <w:sz w:val="20"/>
          <w:szCs w:val="20"/>
        </w:rPr>
        <w:t xml:space="preserve">Calibration: The Achilles heel of predictive analytics. </w:t>
      </w:r>
      <w:r>
        <w:rPr>
          <w:rFonts w:ascii="Times New Roman" w:cs="Times New Roman" w:eastAsia="Times New Roman" w:hAnsi="Times New Roman"/>
          <w:i/>
          <w:iCs/>
          <w:sz w:val="20"/>
          <w:szCs w:val="20"/>
        </w:rPr>
        <w:t xml:space="preserve">BMC Medicine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17</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230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https://doi.org/10.1186/s12916-019-1466-7</w:t>
      </w:r>
    </w:p>
    <w:p>
      <w:pPr>
        <w:spacing w:after="90" w:line="260"/>
        <w:ind w:left="540" w:hanging="540"/>
      </w:pPr>
      <w:r>
        <w:rPr>
          <w:rFonts w:ascii="Times New Roman" w:cs="Times New Roman" w:eastAsia="Times New Roman" w:hAnsi="Times New Roman"/>
          <w:i w:val="false"/>
          <w:iCs w:val="false"/>
          <w:sz w:val="20"/>
          <w:szCs w:val="20"/>
        </w:rPr>
        <w:t xml:space="preserve">Visser, I. (2011). </w:t>
      </w:r>
      <w:r>
        <w:rPr>
          <w:rFonts w:ascii="Times New Roman" w:cs="Times New Roman" w:eastAsia="Times New Roman" w:hAnsi="Times New Roman"/>
          <w:i w:val="false"/>
          <w:iCs w:val="false"/>
          <w:sz w:val="20"/>
          <w:szCs w:val="20"/>
        </w:rPr>
        <w:t xml:space="preserve">Seven things to remember about hidden Markov models: A tutorial on Markovian models for time series. </w:t>
      </w:r>
      <w:r>
        <w:rPr>
          <w:rFonts w:ascii="Times New Roman" w:cs="Times New Roman" w:eastAsia="Times New Roman" w:hAnsi="Times New Roman"/>
          <w:i/>
          <w:iCs/>
          <w:sz w:val="20"/>
          <w:szCs w:val="20"/>
        </w:rPr>
        <w:t xml:space="preserve">Journal of Mathematical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55</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403–415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https://doi.org/10.1016/j.jmp.2011.08.002</w:t>
      </w:r>
    </w:p>
    <w:p>
      <w:pPr>
        <w:spacing w:after="90" w:line="260"/>
        <w:ind w:left="540" w:hanging="540"/>
      </w:pPr>
      <w:r>
        <w:rPr>
          <w:rFonts w:ascii="Times New Roman" w:cs="Times New Roman" w:eastAsia="Times New Roman" w:hAnsi="Times New Roman"/>
          <w:i w:val="false"/>
          <w:iCs w:val="false"/>
          <w:sz w:val="20"/>
          <w:szCs w:val="20"/>
        </w:rPr>
        <w:t xml:space="preserve">Whitchurch, E. R., Wilson, T. D., &amp; Gilbert, D. T. (2011). </w:t>
      </w:r>
      <w:r>
        <w:rPr>
          <w:rFonts w:ascii="Times New Roman" w:cs="Times New Roman" w:eastAsia="Times New Roman" w:hAnsi="Times New Roman"/>
          <w:i w:val="false"/>
          <w:iCs w:val="false"/>
          <w:sz w:val="20"/>
          <w:szCs w:val="20"/>
        </w:rPr>
        <w:t xml:space="preserve">"He loves me, he loves me not . . . ": Uncertainty can increase romantic attraction.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22</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172–175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https://doi.org/10.1177/0956797610393745</w:t>
      </w:r>
    </w:p>
    <w:p>
      <w:pPr>
        <w:spacing w:after="90" w:line="260"/>
        <w:ind w:left="540" w:hanging="540"/>
      </w:pPr>
      <w:r>
        <w:rPr>
          <w:rFonts w:ascii="Times New Roman" w:cs="Times New Roman" w:eastAsia="Times New Roman" w:hAnsi="Times New Roman"/>
          <w:i w:val="false"/>
          <w:iCs w:val="false"/>
          <w:sz w:val="20"/>
          <w:szCs w:val="20"/>
        </w:rPr>
        <w:t xml:space="preserve">Woodlock, D. (2017). </w:t>
      </w:r>
      <w:r>
        <w:rPr>
          <w:rFonts w:ascii="Times New Roman" w:cs="Times New Roman" w:eastAsia="Times New Roman" w:hAnsi="Times New Roman"/>
          <w:i w:val="false"/>
          <w:iCs w:val="false"/>
          <w:sz w:val="20"/>
          <w:szCs w:val="20"/>
        </w:rPr>
        <w:t xml:space="preserve">The abuse of technology in domestic violence and stalking. </w:t>
      </w:r>
      <w:r>
        <w:rPr>
          <w:rFonts w:ascii="Times New Roman" w:cs="Times New Roman" w:eastAsia="Times New Roman" w:hAnsi="Times New Roman"/>
          <w:i/>
          <w:iCs/>
          <w:sz w:val="20"/>
          <w:szCs w:val="20"/>
        </w:rPr>
        <w:t xml:space="preserve">Violence Against Women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23</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584–602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https://doi.org/10.1177/1077801216646277</w:t>
      </w:r>
    </w:p>
    <w:p>
      <w:pPr>
        <w:spacing w:after="90" w:line="260"/>
        <w:ind w:left="540" w:hanging="540"/>
      </w:pPr>
      <w:r>
        <w:rPr>
          <w:rFonts w:ascii="Times New Roman" w:cs="Times New Roman" w:eastAsia="Times New Roman" w:hAnsi="Times New Roman"/>
          <w:i w:val="false"/>
          <w:iCs w:val="false"/>
          <w:sz w:val="20"/>
          <w:szCs w:val="20"/>
        </w:rPr>
        <w:t xml:space="preserve">Yarkoni, T., &amp; Westfall, J. (2017). </w:t>
      </w:r>
      <w:r>
        <w:rPr>
          <w:rFonts w:ascii="Times New Roman" w:cs="Times New Roman" w:eastAsia="Times New Roman" w:hAnsi="Times New Roman"/>
          <w:i w:val="false"/>
          <w:iCs w:val="false"/>
          <w:sz w:val="20"/>
          <w:szCs w:val="20"/>
        </w:rPr>
        <w:t xml:space="preserve">Choosing prediction over explanation in psychology: Lessons from machine learning. </w:t>
      </w:r>
      <w:r>
        <w:rPr>
          <w:rFonts w:ascii="Times New Roman" w:cs="Times New Roman" w:eastAsia="Times New Roman" w:hAnsi="Times New Roman"/>
          <w:i/>
          <w:iCs/>
          <w:sz w:val="20"/>
          <w:szCs w:val="20"/>
        </w:rPr>
        <w:t xml:space="preserve">Perspectives on 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12</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1100–1122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https://doi.org/10.1177/1745691617693393</w:t>
      </w:r>
    </w:p>
    <w:p>
      <w:pPr>
        <w:keepNext/>
        <w:pBdr>
          <w:top w:val="single" w:color="D8D0BF" w:sz="6" w:space="10"/>
        </w:pBdr>
        <w:spacing w:after="100" w:before="480"/>
      </w:pPr>
      <w:r>
        <w:rPr>
          <w:rFonts w:ascii="Arial" w:cs="Arial" w:eastAsia="Arial" w:hAnsi="Arial"/>
          <w:b/>
          <w:bCs/>
          <w:color w:val="8A6D3B"/>
          <w:spacing w:val="40"/>
          <w:sz w:val="16"/>
          <w:szCs w:val="16"/>
        </w:rPr>
        <w:t xml:space="preserve">NOTICE</w:t>
      </w:r>
    </w:p>
    <w:p>
      <w:pPr>
        <w:spacing w:after="90" w:line="260"/>
      </w:pPr>
      <w:r>
        <w:rPr>
          <w:rFonts w:ascii="Times New Roman" w:cs="Times New Roman" w:eastAsia="Times New Roman" w:hAnsi="Times New Roman"/>
          <w:color w:val="5A5A55"/>
          <w:sz w:val="19"/>
          <w:szCs w:val="19"/>
        </w:rPr>
        <w:t xml:space="preserve">This whitepaper is published by the Institute for Human Evolution for educational and research purposes. It summarises and evaluates published scientific literature and proposes directions for future research. It is not medical, psychological, legal, or relationship advice, it does not describe services that IHE provides to individuals, and it should not be used to diagnose or treat any condition. IHE's work is preventive education and skill-building, not treatment.</w:t>
      </w:r>
    </w:p>
    <w:p>
      <w:pPr>
        <w:spacing w:after="90" w:line="260"/>
      </w:pPr>
      <w:r>
        <w:rPr>
          <w:rFonts w:ascii="Times New Roman" w:cs="Times New Roman" w:eastAsia="Times New Roman" w:hAnsi="Times New Roman"/>
          <w:color w:val="5A5A55"/>
          <w:sz w:val="19"/>
          <w:szCs w:val="19"/>
        </w:rPr>
        <w:t xml:space="preserve">If you are struggling after a loss or a breakup, a licensed mental-health professional can help. In the United States, the 988 Suicide &amp; Crisis Lifeline is available by calling or texting 988. If you are in immediate danger, contact local emergency services.</w:t>
      </w:r>
    </w:p>
    <w:p>
      <w:pPr>
        <w:spacing w:after="90" w:line="260"/>
      </w:pPr>
      <w:r>
        <w:rPr>
          <w:rFonts w:ascii="Times New Roman" w:cs="Times New Roman" w:eastAsia="Times New Roman" w:hAnsi="Times New Roman"/>
          <w:color w:val="5A5A55"/>
          <w:sz w:val="19"/>
          <w:szCs w:val="19"/>
        </w:rPr>
        <w:t xml:space="preserve">This paper has not undergone external peer review. Citations were checked against published records at the time of writing; corrections are welcome at hello@ihe.institute.</w:t>
      </w:r>
    </w:p>
    <w:p>
      <w:pPr>
        <w:spacing w:before="120"/>
      </w:pPr>
      <w:r>
        <w:rPr>
          <w:rFonts w:ascii="Times New Roman" w:cs="Times New Roman" w:eastAsia="Times New Roman" w:hAnsi="Times New Roman"/>
          <w:color w:val="5A5A55"/>
          <w:sz w:val="17"/>
          <w:szCs w:val="17"/>
        </w:rPr>
        <w:t xml:space="preserve">© 2026 Institute for Human Evolution. 5449 Hollywood Blvd Unit A, Los Angeles, CA 90027. hello@ihe.institute</w:t>
      </w:r>
    </w:p>
    <w:sectPr>
      <w:headerReference w:type="default" r:id="rId6"/>
      <w:headerReference w:type="first" r:id="rId7"/>
      <w:footerReference w:type="default" r:id="rId8"/>
      <w:footerReference w:type="first" r:id="rId9"/>
      <w:pgSz w:w="12240" w:h="15840" w:orient="portrait"/>
      <w:pgMar w:top="1440" w:right="1440" w:bottom="1440" w:left="1440" w:header="600" w:footer="6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5A5A55"/>
        <w:sz w:val="14"/>
        <w:szCs w:val="14"/>
      </w:rPr>
      <w:t xml:space="preserve">Seductics: Toward a Probabilistic Framework for Romantic Outcomes</w:t>
    </w:r>
    <w:r>
      <w:rPr>
        <w:rFonts w:ascii="Arial" w:cs="Arial" w:eastAsia="Arial" w:hAnsi="Arial"/>
        <w:color w:val="5A5A55"/>
        <w:sz w:val="14"/>
        <w:szCs w:val="14"/>
      </w:rPr>
      <w:t xml:space="preserve">	Page </w:t>
    </w:r>
    <w:r>
      <w:rPr>
        <w:rFonts w:ascii="Arial" w:cs="Arial" w:eastAsia="Arial" w:hAnsi="Arial"/>
        <w:color w:val="5A5A55"/>
        <w:sz w:val="14"/>
        <w:szCs w:val="14"/>
      </w:rPr>
      <w:fldChar w:fldCharType="begin"/>
    </w:r>
    <w:r>
      <w:rPr>
        <w:rFonts w:ascii="Arial" w:cs="Arial" w:eastAsia="Arial" w:hAnsi="Arial"/>
        <w:color w:val="5A5A55"/>
        <w:sz w:val="14"/>
        <w:szCs w:val="14"/>
      </w:rPr>
      <w:instrText xml:space="preserve">PAGE</w:instrText>
    </w:r>
    <w:r>
      <w:rPr>
        <w:rFonts w:ascii="Arial" w:cs="Arial" w:eastAsia="Arial" w:hAnsi="Arial"/>
        <w:color w:val="5A5A55"/>
        <w:sz w:val="14"/>
        <w:szCs w:val="14"/>
      </w:rPr>
      <w:fldChar w:fldCharType="separate"/>
    </w:r>
    <w:r>
      <w:rPr>
        <w:rFonts w:ascii="Arial" w:cs="Arial" w:eastAsia="Arial" w:hAnsi="Arial"/>
        <w:color w:val="5A5A55"/>
        <w:sz w:val="14"/>
        <w:szCs w:val="14"/>
      </w:rPr>
      <w:fldChar w:fldCharType="end"/>
    </w:r>
    <w:r>
      <w:rPr>
        <w:rFonts w:ascii="Arial" w:cs="Arial" w:eastAsia="Arial" w:hAnsi="Arial"/>
        <w:color w:val="5A5A55"/>
        <w:sz w:val="14"/>
        <w:szCs w:val="14"/>
      </w:rPr>
      <w:t xml:space="preserve"> of </w:t>
    </w:r>
    <w:r>
      <w:rPr>
        <w:rFonts w:ascii="Arial" w:cs="Arial" w:eastAsia="Arial" w:hAnsi="Arial"/>
        <w:color w:val="5A5A55"/>
        <w:sz w:val="14"/>
        <w:szCs w:val="14"/>
      </w:rPr>
      <w:fldChar w:fldCharType="begin"/>
    </w:r>
    <w:r>
      <w:rPr>
        <w:rFonts w:ascii="Arial" w:cs="Arial" w:eastAsia="Arial" w:hAnsi="Arial"/>
        <w:color w:val="5A5A55"/>
        <w:sz w:val="14"/>
        <w:szCs w:val="14"/>
      </w:rPr>
      <w:instrText xml:space="preserve">NUMPAGES</w:instrText>
    </w:r>
    <w:r>
      <w:rPr>
        <w:rFonts w:ascii="Arial" w:cs="Arial" w:eastAsia="Arial" w:hAnsi="Arial"/>
        <w:color w:val="5A5A55"/>
        <w:sz w:val="14"/>
        <w:szCs w:val="14"/>
      </w:rPr>
      <w:fldChar w:fldCharType="separate"/>
    </w:r>
    <w:r>
      <w:rPr>
        <w:rFonts w:ascii="Arial" w:cs="Arial" w:eastAsia="Arial" w:hAnsi="Arial"/>
        <w:color w:val="5A5A55"/>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0BF" w:sz="4" w:space="4"/>
      </w:pBdr>
      <w:tabs>
        <w:tab w:val="right" w:pos="9360"/>
      </w:tabs>
    </w:pPr>
    <w:r>
      <w:rPr>
        <w:rFonts w:ascii="Arial" w:cs="Arial" w:eastAsia="Arial" w:hAnsi="Arial"/>
        <w:b/>
        <w:bCs/>
        <w:color w:val="1F3A5F"/>
        <w:spacing w:val="30"/>
        <w:sz w:val="14"/>
        <w:szCs w:val="14"/>
      </w:rPr>
      <w:t xml:space="preserve">INSTITUTE FOR HUMAN EVOLUTION</w:t>
    </w:r>
    <w:r>
      <w:rPr>
        <w:rFonts w:ascii="Arial" w:cs="Arial" w:eastAsia="Arial" w:hAnsi="Arial"/>
        <w:color w:val="5A5A55"/>
        <w:spacing w:val="20"/>
        <w:sz w:val="14"/>
        <w:szCs w:val="14"/>
      </w:rPr>
      <w:t xml:space="preserve">	IHE Whitepaper Series · IHE-WP-05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abstractNum w:abstractNumId="4"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F3A5F"/>
      <w:sz w:val="30"/>
      <w:szCs w:val="30"/>
    </w:rPr>
  </w:style>
  <w:style w:type="paragraph" w:styleId="Heading2">
    <w:name w:val="Heading 2"/>
    <w:basedOn w:val="Normal"/>
    <w:next w:val="Normal"/>
    <w:qFormat/>
    <w:pPr>
      <w:outlineLvl w:val="1"/>
    </w:pPr>
    <w:rPr>
      <w:rFonts w:ascii="Times New Roman" w:cs="Times New Roman" w:eastAsia="Times New Roman" w:hAnsi="Times New Roman"/>
      <w:b/>
      <w:bCs/>
      <w:color w:val="1F3A5F"/>
      <w:sz w:val="24"/>
      <w:szCs w:val="24"/>
    </w:rPr>
  </w:style>
  <w:style w:type="paragraph" w:styleId="Heading3">
    <w:name w:val="Heading 3"/>
    <w:basedOn w:val="Normal"/>
    <w:next w:val="Normal"/>
    <w:qFormat/>
    <w:pPr>
      <w:outlineLvl w:val="2"/>
    </w:pPr>
    <w:rPr>
      <w:rFonts w:ascii="Times New Roman" w:cs="Times New Roman" w:eastAsia="Times New Roman" w:hAnsi="Times New Roman"/>
      <w:b/>
      <w:bCs/>
      <w:i/>
      <w:iCs/>
      <w:color w:val="33465C"/>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25e53565cfbd933ff5852692b73859cd94cc3c8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Seductics: Toward a Probabilistic Framework for Romantic Outcomes: Assumptions, Model Classes, and Validation Requirements</dc:title>
  <dc:subject>IHE-WP-05, IHE Whitepaper Series</dc:subject>
  <dc:creator>Institute for Human Evolution</dc:creator>
  <cp:keywords>probabilistic modeling, romantic attraction, relationship dissolution, Markov chains, survival analysis, Bayesian inference, social relations model, prediction, validation</cp:keywords>
  <dc:description>Institute for Human Evolution whitepaper IHE-WP-05</dc:description>
  <cp:lastModifiedBy>Un-named</cp:lastModifiedBy>
  <cp:revision>1</cp:revision>
  <dcterms:created xsi:type="dcterms:W3CDTF">2026-10-18T11:33:44.241Z</dcterms:created>
  <dcterms:modified xsi:type="dcterms:W3CDTF">2026-10-18T11:33:44.241Z</dcterms:modified>
</cp:coreProperties>
</file>

<file path=docProps/custom.xml><?xml version="1.0" encoding="utf-8"?>
<Properties xmlns="http://schemas.openxmlformats.org/officeDocument/2006/custom-properties" xmlns:vt="http://schemas.openxmlformats.org/officeDocument/2006/docPropsVTypes"/>
</file>